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AA5D8E" w:rsidRDefault="00B41BBD"/>
    <w:p w14:paraId="0FFBF625" w14:textId="77777777" w:rsidR="00D2200F" w:rsidRPr="00AA5D8E" w:rsidRDefault="00D2200F"/>
    <w:p w14:paraId="501EA36F" w14:textId="77777777" w:rsidR="00D2200F" w:rsidRPr="00AA5D8E" w:rsidRDefault="00F8688E" w:rsidP="00F8688E">
      <w:pPr>
        <w:tabs>
          <w:tab w:val="left" w:pos="6624"/>
        </w:tabs>
      </w:pPr>
      <w:r w:rsidRPr="00AA5D8E">
        <w:tab/>
      </w:r>
    </w:p>
    <w:p w14:paraId="4270C9CB" w14:textId="77777777" w:rsidR="00B41BBD" w:rsidRPr="00AA5D8E" w:rsidRDefault="00B41BBD"/>
    <w:p w14:paraId="7BFA3CDF" w14:textId="77777777" w:rsidR="00B41BBD" w:rsidRPr="00AA5D8E" w:rsidRDefault="00B41BBD"/>
    <w:p w14:paraId="49FE25D5" w14:textId="77777777" w:rsidR="00B41BBD" w:rsidRPr="00AA5D8E" w:rsidRDefault="00B41BBD"/>
    <w:p w14:paraId="35FE28BB" w14:textId="77777777" w:rsidR="00B41BBD" w:rsidRPr="00AA5D8E" w:rsidRDefault="00B41BBD"/>
    <w:p w14:paraId="726D6B4B" w14:textId="77777777" w:rsidR="00B41BBD" w:rsidRPr="00AA5D8E" w:rsidRDefault="00B41BBD"/>
    <w:p w14:paraId="6ABA0285" w14:textId="77777777" w:rsidR="00B41BBD" w:rsidRPr="00AA5D8E" w:rsidRDefault="00B41BBD"/>
    <w:p w14:paraId="7CFFA644" w14:textId="77777777" w:rsidR="00B41BBD" w:rsidRPr="00AA5D8E" w:rsidRDefault="00B41BBD"/>
    <w:p w14:paraId="769A8BDD" w14:textId="77777777" w:rsidR="00B41BBD" w:rsidRPr="00AA5D8E" w:rsidRDefault="00B41BBD"/>
    <w:p w14:paraId="21F4A595" w14:textId="77777777" w:rsidR="00B41BBD" w:rsidRPr="00AA5D8E" w:rsidRDefault="00B41BBD"/>
    <w:p w14:paraId="41810831" w14:textId="77777777" w:rsidR="00B41BBD" w:rsidRPr="00AA5D8E" w:rsidRDefault="00B41BBD" w:rsidP="00B41BBD">
      <w:pPr>
        <w:tabs>
          <w:tab w:val="left" w:pos="7500"/>
        </w:tabs>
      </w:pPr>
    </w:p>
    <w:p w14:paraId="0E240916" w14:textId="77777777" w:rsidR="00B41BBD" w:rsidRPr="00AA5D8E" w:rsidRDefault="00B41BBD" w:rsidP="00B41BBD">
      <w:pPr>
        <w:tabs>
          <w:tab w:val="left" w:pos="7500"/>
        </w:tabs>
      </w:pPr>
    </w:p>
    <w:p w14:paraId="177D36D5" w14:textId="77777777" w:rsidR="00B41BBD" w:rsidRPr="00AA5D8E" w:rsidRDefault="00B41BBD" w:rsidP="00B41BBD">
      <w:pPr>
        <w:tabs>
          <w:tab w:val="left" w:pos="7500"/>
        </w:tabs>
      </w:pPr>
    </w:p>
    <w:p w14:paraId="39AD58CE" w14:textId="77777777" w:rsidR="00B41BBD" w:rsidRPr="00AA5D8E" w:rsidRDefault="00B41BBD" w:rsidP="00B41BBD">
      <w:pPr>
        <w:tabs>
          <w:tab w:val="left" w:pos="7500"/>
        </w:tabs>
      </w:pPr>
    </w:p>
    <w:p w14:paraId="4A349EFE" w14:textId="77777777" w:rsidR="00B41BBD" w:rsidRPr="00AA5D8E" w:rsidRDefault="00B41BBD" w:rsidP="00B41BBD">
      <w:pPr>
        <w:tabs>
          <w:tab w:val="left" w:pos="7500"/>
        </w:tabs>
      </w:pPr>
    </w:p>
    <w:p w14:paraId="5FC44D0A" w14:textId="77777777" w:rsidR="00B41BBD" w:rsidRPr="00AA5D8E" w:rsidRDefault="00B41BBD" w:rsidP="00B41BBD">
      <w:pPr>
        <w:tabs>
          <w:tab w:val="left" w:pos="7500"/>
        </w:tabs>
      </w:pPr>
    </w:p>
    <w:p w14:paraId="08CC5F83" w14:textId="77777777" w:rsidR="000C6B6F" w:rsidRPr="00AA5D8E" w:rsidRDefault="00FA55B1" w:rsidP="000C6B6F">
      <w:pPr>
        <w:jc w:val="center"/>
        <w:rPr>
          <w:b/>
          <w:color w:val="FFFFFF"/>
          <w:sz w:val="40"/>
          <w:szCs w:val="36"/>
        </w:rPr>
      </w:pPr>
      <w:r w:rsidRPr="00AA5D8E">
        <w:rPr>
          <w:b/>
          <w:color w:val="FFFFFF"/>
          <w:sz w:val="40"/>
          <w:szCs w:val="36"/>
        </w:rPr>
        <w:t>Study on Aggressive Tax Planning</w:t>
      </w:r>
    </w:p>
    <w:p w14:paraId="2378E721" w14:textId="77777777" w:rsidR="000C6B6F" w:rsidRPr="00AA5D8E" w:rsidRDefault="000C6B6F" w:rsidP="000C6B6F">
      <w:pPr>
        <w:jc w:val="center"/>
        <w:rPr>
          <w:b/>
          <w:color w:val="FFFFFF"/>
          <w:sz w:val="40"/>
          <w:szCs w:val="36"/>
        </w:rPr>
      </w:pPr>
    </w:p>
    <w:p w14:paraId="70479BDA" w14:textId="77777777" w:rsidR="000C6B6F" w:rsidRPr="00AA5D8E" w:rsidRDefault="000C6B6F" w:rsidP="000C6B6F">
      <w:pPr>
        <w:jc w:val="center"/>
      </w:pPr>
    </w:p>
    <w:p w14:paraId="0632E340" w14:textId="77777777" w:rsidR="000C6B6F" w:rsidRPr="00AA5D8E" w:rsidRDefault="00FA55B1" w:rsidP="00FA55B1">
      <w:pPr>
        <w:jc w:val="center"/>
      </w:pPr>
      <w:r w:rsidRPr="00AA5D8E">
        <w:rPr>
          <w:i/>
          <w:color w:val="FFFFFF"/>
          <w:sz w:val="36"/>
          <w:szCs w:val="36"/>
        </w:rPr>
        <w:t>Specific contract No13 under FWC TAXUD/2012/CC116</w:t>
      </w:r>
    </w:p>
    <w:p w14:paraId="6944B4D6" w14:textId="77777777" w:rsidR="000C6B6F" w:rsidRPr="00AA5D8E" w:rsidRDefault="000C6B6F" w:rsidP="000C6B6F"/>
    <w:p w14:paraId="0BDA647D" w14:textId="77777777" w:rsidR="000C6B6F" w:rsidRPr="00AA5D8E" w:rsidRDefault="000C6B6F" w:rsidP="000C6B6F"/>
    <w:p w14:paraId="544DD4B8" w14:textId="77777777" w:rsidR="000C6B6F" w:rsidRPr="00AA5D8E" w:rsidRDefault="000C6B6F" w:rsidP="000C6B6F"/>
    <w:p w14:paraId="48E6715B" w14:textId="77777777" w:rsidR="000C6B6F" w:rsidRPr="00AA5D8E" w:rsidRDefault="000C6B6F" w:rsidP="000C6B6F"/>
    <w:p w14:paraId="4B979A15" w14:textId="77777777" w:rsidR="000C6B6F" w:rsidRPr="00AA5D8E" w:rsidRDefault="000C6B6F" w:rsidP="000C6B6F"/>
    <w:p w14:paraId="11FEF24C" w14:textId="77777777" w:rsidR="000C6B6F" w:rsidRPr="00AA5D8E" w:rsidRDefault="000C6B6F" w:rsidP="000C6B6F"/>
    <w:p w14:paraId="7CA1F8D7" w14:textId="77777777" w:rsidR="000C6B6F" w:rsidRPr="00AA5D8E" w:rsidRDefault="00FA55B1" w:rsidP="000C6B6F">
      <w:pPr>
        <w:jc w:val="center"/>
        <w:rPr>
          <w:b/>
          <w:color w:val="FFFFFF"/>
          <w:sz w:val="28"/>
        </w:rPr>
      </w:pPr>
      <w:r w:rsidRPr="00AA5D8E">
        <w:rPr>
          <w:b/>
          <w:color w:val="FFFFFF"/>
          <w:sz w:val="28"/>
        </w:rPr>
        <w:t xml:space="preserve">Appendix </w:t>
      </w:r>
      <w:r w:rsidR="007473BE" w:rsidRPr="00AA5D8E">
        <w:rPr>
          <w:b/>
          <w:color w:val="FFFFFF"/>
          <w:sz w:val="28"/>
        </w:rPr>
        <w:t>1</w:t>
      </w:r>
      <w:r w:rsidRPr="00AA5D8E">
        <w:rPr>
          <w:b/>
          <w:color w:val="FFFFFF"/>
          <w:sz w:val="28"/>
        </w:rPr>
        <w:t xml:space="preserve"> - </w:t>
      </w:r>
      <w:r w:rsidR="00547990" w:rsidRPr="00AA5D8E">
        <w:rPr>
          <w:b/>
          <w:color w:val="FFFFFF"/>
          <w:sz w:val="28"/>
        </w:rPr>
        <w:t xml:space="preserve">Questionnaire to </w:t>
      </w:r>
      <w:r w:rsidRPr="00AA5D8E">
        <w:rPr>
          <w:b/>
          <w:color w:val="FFFFFF"/>
          <w:sz w:val="28"/>
        </w:rPr>
        <w:t xml:space="preserve">national </w:t>
      </w:r>
      <w:r w:rsidR="000B6327" w:rsidRPr="00AA5D8E">
        <w:rPr>
          <w:b/>
          <w:color w:val="FFFFFF"/>
          <w:sz w:val="28"/>
        </w:rPr>
        <w:t xml:space="preserve">tax </w:t>
      </w:r>
      <w:r w:rsidRPr="00AA5D8E">
        <w:rPr>
          <w:b/>
          <w:color w:val="FFFFFF"/>
          <w:sz w:val="28"/>
        </w:rPr>
        <w:t>experts</w:t>
      </w:r>
    </w:p>
    <w:p w14:paraId="363C330A" w14:textId="3FCC2426" w:rsidR="00A06EB3" w:rsidRPr="00AA5D8E" w:rsidRDefault="00A06EB3" w:rsidP="000C6B6F">
      <w:pPr>
        <w:jc w:val="center"/>
        <w:rPr>
          <w:b/>
          <w:color w:val="FFFFFF"/>
          <w:sz w:val="28"/>
        </w:rPr>
      </w:pPr>
      <w:r w:rsidRPr="00AA5D8E">
        <w:rPr>
          <w:b/>
          <w:color w:val="FFFFFF"/>
          <w:sz w:val="28"/>
        </w:rPr>
        <w:t>Filled in for</w:t>
      </w:r>
      <w:r w:rsidR="00F12FEB" w:rsidRPr="00AA5D8E">
        <w:rPr>
          <w:b/>
          <w:color w:val="FFFFFF"/>
          <w:sz w:val="28"/>
        </w:rPr>
        <w:t xml:space="preserve"> Portugal</w:t>
      </w:r>
    </w:p>
    <w:p w14:paraId="6CD448E3" w14:textId="626B0D92" w:rsidR="000C6B6F" w:rsidRPr="00AA5D8E" w:rsidRDefault="00F12FEB" w:rsidP="000C6B6F">
      <w:r w:rsidRPr="00AA5D8E">
        <w:rPr>
          <w:noProof/>
          <w:lang w:eastAsia="en-US"/>
        </w:rPr>
        <w:drawing>
          <wp:anchor distT="0" distB="0" distL="114300" distR="114300" simplePos="0" relativeHeight="251660288" behindDoc="1" locked="0" layoutInCell="1" allowOverlap="1" wp14:anchorId="73E15AE0" wp14:editId="3FF485C9">
            <wp:simplePos x="0" y="0"/>
            <wp:positionH relativeFrom="column">
              <wp:posOffset>2110740</wp:posOffset>
            </wp:positionH>
            <wp:positionV relativeFrom="paragraph">
              <wp:posOffset>115570</wp:posOffset>
            </wp:positionV>
            <wp:extent cx="1332230" cy="885825"/>
            <wp:effectExtent l="0" t="0" r="1270" b="9525"/>
            <wp:wrapTight wrapText="bothSides">
              <wp:wrapPolygon edited="0">
                <wp:start x="0" y="0"/>
                <wp:lineTo x="0" y="21368"/>
                <wp:lineTo x="21312" y="21368"/>
                <wp:lineTo x="21312" y="0"/>
                <wp:lineTo x="0" y="0"/>
              </wp:wrapPolygon>
            </wp:wrapTight>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223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052E75D5" w:rsidR="000C6B6F" w:rsidRPr="00AA5D8E" w:rsidRDefault="000C6B6F" w:rsidP="000C6B6F"/>
    <w:p w14:paraId="5887FACD" w14:textId="77777777" w:rsidR="000C6B6F" w:rsidRPr="00AA5D8E" w:rsidRDefault="000C6B6F" w:rsidP="000C6B6F"/>
    <w:p w14:paraId="73AD60F0" w14:textId="77777777" w:rsidR="000C6B6F" w:rsidRPr="00AA5D8E" w:rsidRDefault="000C6B6F" w:rsidP="000C6B6F"/>
    <w:p w14:paraId="5D6CC88D" w14:textId="1C1FD42D" w:rsidR="000C6B6F" w:rsidRPr="00AA5D8E" w:rsidRDefault="000C6B6F" w:rsidP="000C6B6F"/>
    <w:p w14:paraId="3156C2AF" w14:textId="7BBB2527" w:rsidR="000C6B6F" w:rsidRPr="00AA5D8E" w:rsidRDefault="000C6B6F" w:rsidP="000C6B6F"/>
    <w:p w14:paraId="687777E8" w14:textId="77777777" w:rsidR="000C6B6F" w:rsidRPr="00AA5D8E" w:rsidRDefault="000C6B6F" w:rsidP="000C6B6F"/>
    <w:p w14:paraId="4A3FF24C" w14:textId="77777777" w:rsidR="000C6B6F" w:rsidRPr="00AA5D8E" w:rsidRDefault="000C6B6F" w:rsidP="000C6B6F"/>
    <w:p w14:paraId="123F207C" w14:textId="77777777" w:rsidR="000C6B6F" w:rsidRPr="00AA5D8E" w:rsidRDefault="000C6B6F" w:rsidP="000C6B6F"/>
    <w:p w14:paraId="1ACDE47B" w14:textId="77777777" w:rsidR="000C6B6F" w:rsidRPr="00AA5D8E" w:rsidRDefault="000C6B6F" w:rsidP="000C6B6F"/>
    <w:p w14:paraId="67C2F555" w14:textId="77777777" w:rsidR="000C6B6F" w:rsidRPr="00AA5D8E" w:rsidRDefault="000C6B6F" w:rsidP="000C6B6F"/>
    <w:p w14:paraId="3D4AB5FD" w14:textId="77777777" w:rsidR="000C6B6F" w:rsidRPr="00AA5D8E" w:rsidRDefault="00CF7F2A" w:rsidP="000C6B6F">
      <w:r w:rsidRPr="00AA5D8E">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AA5D8E" w:rsidRDefault="000C6B6F" w:rsidP="000C6B6F"/>
    <w:p w14:paraId="58CFA02B" w14:textId="77777777" w:rsidR="000C6B6F" w:rsidRPr="00AA5D8E" w:rsidRDefault="000C6B6F" w:rsidP="000C6B6F"/>
    <w:p w14:paraId="30408430" w14:textId="77777777" w:rsidR="00B41BBD" w:rsidRPr="00AA5D8E" w:rsidRDefault="00B41BBD" w:rsidP="00B41BBD">
      <w:pPr>
        <w:tabs>
          <w:tab w:val="left" w:pos="7500"/>
        </w:tabs>
        <w:rPr>
          <w:b/>
        </w:rPr>
      </w:pPr>
    </w:p>
    <w:p w14:paraId="361BF4DD" w14:textId="77777777" w:rsidR="00547990" w:rsidRPr="00AA5D8E" w:rsidRDefault="00D67218" w:rsidP="00547990">
      <w:pPr>
        <w:pBdr>
          <w:bottom w:val="single" w:sz="4" w:space="1" w:color="1F497D"/>
        </w:pBdr>
        <w:rPr>
          <w:b/>
          <w:color w:val="1F497D"/>
        </w:rPr>
      </w:pPr>
      <w:r w:rsidRPr="00AA5D8E">
        <w:rPr>
          <w:noProof/>
          <w:lang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AA5D8E">
        <w:rPr>
          <w:b/>
          <w:color w:val="1F497D"/>
        </w:rPr>
        <w:br w:type="page"/>
      </w:r>
      <w:r w:rsidR="00F4731C" w:rsidRPr="00AA5D8E">
        <w:rPr>
          <w:b/>
          <w:color w:val="1F497D"/>
        </w:rPr>
        <w:lastRenderedPageBreak/>
        <w:t>QUESTIONNAIRE</w:t>
      </w:r>
    </w:p>
    <w:p w14:paraId="698D8A70" w14:textId="77777777" w:rsidR="00547990" w:rsidRPr="00AA5D8E" w:rsidRDefault="00547990" w:rsidP="00547990"/>
    <w:p w14:paraId="7E505701" w14:textId="4B510185" w:rsidR="00A06EB3" w:rsidRPr="00AA5D8E" w:rsidRDefault="00F12FEB" w:rsidP="00A06EB3">
      <w:pPr>
        <w:pBdr>
          <w:bottom w:val="single" w:sz="4" w:space="1" w:color="1F497D"/>
        </w:pBdr>
        <w:rPr>
          <w:b/>
          <w:color w:val="1F497D"/>
        </w:rPr>
      </w:pPr>
      <w:r w:rsidRPr="00AA5D8E">
        <w:rPr>
          <w:b/>
          <w:color w:val="1F497D"/>
        </w:rPr>
        <w:t>Portugal</w:t>
      </w:r>
    </w:p>
    <w:p w14:paraId="27C3C149" w14:textId="1BDADB4C" w:rsidR="00B54D85" w:rsidRPr="00AA5D8E" w:rsidRDefault="00A06EB3" w:rsidP="00B54D85">
      <w:pPr>
        <w:pStyle w:val="Heading2"/>
      </w:pPr>
      <w:r w:rsidRPr="00AA5D8E">
        <w:t>Abbreviations</w:t>
      </w:r>
    </w:p>
    <w:p w14:paraId="057514A2" w14:textId="77A546F1" w:rsidR="009F3EBC" w:rsidRPr="00AA5D8E" w:rsidRDefault="009F3EBC" w:rsidP="009F3EBC">
      <w:pPr>
        <w:pStyle w:val="BodyText"/>
        <w:spacing w:after="0"/>
        <w:rPr>
          <w:b/>
        </w:rPr>
      </w:pPr>
      <w:r w:rsidRPr="00AA5D8E">
        <w:rPr>
          <w:b/>
        </w:rPr>
        <w:t>APA (Advance Price Agreements)</w:t>
      </w:r>
    </w:p>
    <w:p w14:paraId="63815986" w14:textId="7D5DD46B" w:rsidR="00A74BE4" w:rsidRPr="00AA5D8E" w:rsidRDefault="00A74BE4" w:rsidP="00A74BE4">
      <w:pPr>
        <w:pStyle w:val="BodyText"/>
        <w:spacing w:after="0"/>
        <w:rPr>
          <w:b/>
        </w:rPr>
      </w:pPr>
      <w:r w:rsidRPr="00AA5D8E">
        <w:rPr>
          <w:b/>
        </w:rPr>
        <w:t>ATP (Aggressive Tax Planning)</w:t>
      </w:r>
    </w:p>
    <w:p w14:paraId="21D03E56" w14:textId="4CF43ECF" w:rsidR="00A74BE4" w:rsidRPr="00AA5D8E" w:rsidRDefault="00A74BE4" w:rsidP="00A74BE4">
      <w:pPr>
        <w:pStyle w:val="BodyText"/>
        <w:spacing w:after="0"/>
        <w:rPr>
          <w:b/>
        </w:rPr>
      </w:pPr>
      <w:r w:rsidRPr="00AA5D8E">
        <w:rPr>
          <w:b/>
        </w:rPr>
        <w:t>CFC (Controlled Foreign Company)</w:t>
      </w:r>
    </w:p>
    <w:p w14:paraId="12FF286A" w14:textId="0D654454" w:rsidR="00A06EB3" w:rsidRPr="00AA5D8E" w:rsidRDefault="00DC0558" w:rsidP="00A06EB3">
      <w:pPr>
        <w:rPr>
          <w:b/>
        </w:rPr>
      </w:pPr>
      <w:r w:rsidRPr="00AA5D8E">
        <w:rPr>
          <w:b/>
        </w:rPr>
        <w:t>CIT (Corporation Income Tax)</w:t>
      </w:r>
    </w:p>
    <w:p w14:paraId="3D129830" w14:textId="2B6866D4" w:rsidR="00DC0558" w:rsidRPr="00AA5D8E" w:rsidRDefault="00DC0558" w:rsidP="00A06EB3">
      <w:pPr>
        <w:rPr>
          <w:b/>
        </w:rPr>
      </w:pPr>
      <w:r w:rsidRPr="00AA5D8E">
        <w:rPr>
          <w:b/>
        </w:rPr>
        <w:t>CIRC (Código do Imposto sobre o Rendimento das Pessoas Coletivas)</w:t>
      </w:r>
    </w:p>
    <w:p w14:paraId="6A4AC99F" w14:textId="4D2CBE60" w:rsidR="002A50FB" w:rsidRPr="00AA5D8E" w:rsidRDefault="002A50FB" w:rsidP="00A06EB3">
      <w:pPr>
        <w:rPr>
          <w:b/>
        </w:rPr>
      </w:pPr>
      <w:r w:rsidRPr="00AA5D8E">
        <w:rPr>
          <w:b/>
        </w:rPr>
        <w:t>CIRS (Código do Imposto sobre o Rendimento das Pessoas Singulares)</w:t>
      </w:r>
    </w:p>
    <w:p w14:paraId="6FC78EF8" w14:textId="55C4C65D" w:rsidR="00E7178C" w:rsidRPr="00AA5D8E" w:rsidRDefault="00E7178C" w:rsidP="00A06EB3">
      <w:pPr>
        <w:rPr>
          <w:b/>
        </w:rPr>
      </w:pPr>
      <w:r w:rsidRPr="00AA5D8E">
        <w:rPr>
          <w:b/>
        </w:rPr>
        <w:t>EBITDA (Earnings Before Interest, Tax, Depreciation and Amortization)</w:t>
      </w:r>
    </w:p>
    <w:p w14:paraId="39D49517" w14:textId="105C99F7" w:rsidR="00DC0558" w:rsidRPr="00AA5D8E" w:rsidRDefault="00C50744" w:rsidP="00A06EB3">
      <w:pPr>
        <w:rPr>
          <w:b/>
        </w:rPr>
      </w:pPr>
      <w:r w:rsidRPr="00AA5D8E">
        <w:rPr>
          <w:b/>
        </w:rPr>
        <w:t>EU (European Union)</w:t>
      </w:r>
    </w:p>
    <w:p w14:paraId="5BEF8F62" w14:textId="4B8B59C5" w:rsidR="00C50744" w:rsidRPr="00AA5D8E" w:rsidRDefault="00C50744" w:rsidP="00A06EB3">
      <w:pPr>
        <w:rPr>
          <w:b/>
        </w:rPr>
      </w:pPr>
      <w:r w:rsidRPr="00AA5D8E">
        <w:rPr>
          <w:b/>
        </w:rPr>
        <w:t>EEA (European Economic Area)</w:t>
      </w:r>
    </w:p>
    <w:p w14:paraId="6E6D66D7" w14:textId="760F3DEA" w:rsidR="00187C83" w:rsidRPr="00AA5D8E" w:rsidRDefault="00187C83" w:rsidP="00A06EB3">
      <w:pPr>
        <w:rPr>
          <w:b/>
        </w:rPr>
      </w:pPr>
      <w:r w:rsidRPr="00AA5D8E">
        <w:rPr>
          <w:b/>
        </w:rPr>
        <w:t>IP (Intellectual Property)</w:t>
      </w:r>
    </w:p>
    <w:p w14:paraId="361BBAEB" w14:textId="54092FC0" w:rsidR="00B54D85" w:rsidRPr="00AA5D8E" w:rsidRDefault="00B54D85" w:rsidP="00A06EB3">
      <w:pPr>
        <w:rPr>
          <w:b/>
        </w:rPr>
      </w:pPr>
      <w:r w:rsidRPr="00AA5D8E">
        <w:rPr>
          <w:b/>
        </w:rPr>
        <w:t>IRC (Imposto sobre o Rendimento das Pessoas Coletivas)</w:t>
      </w:r>
    </w:p>
    <w:p w14:paraId="0E836B4E" w14:textId="524F7294" w:rsidR="000C6182" w:rsidRPr="00AA5D8E" w:rsidRDefault="000C6182" w:rsidP="00A06EB3">
      <w:pPr>
        <w:rPr>
          <w:b/>
        </w:rPr>
      </w:pPr>
      <w:r w:rsidRPr="00AA5D8E">
        <w:rPr>
          <w:b/>
        </w:rPr>
        <w:t>LGT (Lei Geral Tributária)</w:t>
      </w:r>
    </w:p>
    <w:p w14:paraId="5A54774B" w14:textId="5B6B4F57" w:rsidR="006C66A7" w:rsidRPr="00AA5D8E" w:rsidRDefault="006C66A7" w:rsidP="00A06EB3">
      <w:pPr>
        <w:rPr>
          <w:b/>
        </w:rPr>
      </w:pPr>
      <w:r w:rsidRPr="00AA5D8E">
        <w:rPr>
          <w:b/>
        </w:rPr>
        <w:t>R&amp;D (Research &amp; Development)</w:t>
      </w:r>
    </w:p>
    <w:p w14:paraId="7C9F0E61" w14:textId="7CF797A5" w:rsidR="00A74BE4" w:rsidRPr="00AA5D8E" w:rsidRDefault="00A74BE4" w:rsidP="00A06EB3">
      <w:pPr>
        <w:rPr>
          <w:b/>
        </w:rPr>
      </w:pPr>
      <w:r w:rsidRPr="00AA5D8E">
        <w:rPr>
          <w:b/>
        </w:rPr>
        <w:t>WHT (Withholding Tax)</w:t>
      </w:r>
    </w:p>
    <w:p w14:paraId="79BD872A" w14:textId="77777777" w:rsidR="00A06EB3" w:rsidRPr="00AA5D8E" w:rsidRDefault="00A06EB3" w:rsidP="00547990"/>
    <w:p w14:paraId="76F74719" w14:textId="77777777" w:rsidR="00A06EB3" w:rsidRPr="00AA5D8E"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AA5D8E"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AA5D8E" w:rsidRDefault="0097352D" w:rsidP="00F8230D">
            <w:pPr>
              <w:rPr>
                <w:color w:val="FFFFFF" w:themeColor="background1"/>
                <w:lang w:val="en-GB"/>
              </w:rPr>
            </w:pPr>
            <w:r w:rsidRPr="00AA5D8E">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AA5D8E"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AA5D8E">
              <w:rPr>
                <w:color w:val="FFFFFF" w:themeColor="background1"/>
                <w:lang w:val="en-GB"/>
              </w:rPr>
              <w:t>Answers</w:t>
            </w:r>
          </w:p>
        </w:tc>
      </w:tr>
      <w:tr w:rsidR="0097352D" w:rsidRPr="00AA5D8E"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AA5D8E" w:rsidRDefault="0097352D" w:rsidP="00F8230D">
            <w:pPr>
              <w:rPr>
                <w:lang w:val="en-GB"/>
              </w:rPr>
            </w:pPr>
            <w:r w:rsidRPr="00AA5D8E">
              <w:rPr>
                <w:i/>
                <w:sz w:val="16"/>
                <w:szCs w:val="16"/>
                <w:lang w:val="en-GB"/>
              </w:rPr>
              <w:t>Corporate tax rate</w:t>
            </w:r>
          </w:p>
        </w:tc>
      </w:tr>
      <w:tr w:rsidR="0026298E" w:rsidRPr="00AA5D8E"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AA5D8E" w:rsidRDefault="0026298E" w:rsidP="0026298E">
            <w:pPr>
              <w:pStyle w:val="ListNumber"/>
              <w:tabs>
                <w:tab w:val="clear" w:pos="284"/>
              </w:tabs>
              <w:ind w:left="340" w:hanging="340"/>
              <w:jc w:val="left"/>
              <w:rPr>
                <w:b w:val="0"/>
                <w:color w:val="auto"/>
                <w:lang w:val="en-GB"/>
              </w:rPr>
            </w:pPr>
            <w:r w:rsidRPr="00AA5D8E">
              <w:rPr>
                <w:b w:val="0"/>
                <w:color w:val="auto"/>
                <w:sz w:val="16"/>
                <w:szCs w:val="16"/>
                <w:lang w:val="en-GB"/>
              </w:rPr>
              <w:t>What is the standard rate of corporate income tax applicable for the fiscal year 2015?</w:t>
            </w:r>
          </w:p>
        </w:tc>
        <w:tc>
          <w:tcPr>
            <w:tcW w:w="3933" w:type="dxa"/>
          </w:tcPr>
          <w:p w14:paraId="127DAC24"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21%.</w:t>
            </w:r>
          </w:p>
          <w:p w14:paraId="7DB94309" w14:textId="77777777" w:rsidR="0026298E" w:rsidRPr="00AA5D8E"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AA5D8E"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AA5D8E" w:rsidRDefault="00983DFA" w:rsidP="00427661">
            <w:pPr>
              <w:pStyle w:val="ListNumber"/>
              <w:tabs>
                <w:tab w:val="clear" w:pos="284"/>
              </w:tabs>
              <w:ind w:left="340" w:hanging="340"/>
              <w:jc w:val="left"/>
              <w:rPr>
                <w:b w:val="0"/>
                <w:color w:val="auto"/>
                <w:lang w:val="en-GB"/>
              </w:rPr>
            </w:pPr>
            <w:r w:rsidRPr="00AA5D8E">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2A50E691" w:rsidR="0097352D" w:rsidRPr="00AA5D8E" w:rsidRDefault="00B122CC"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r w:rsidR="00462A07" w:rsidRPr="00AA5D8E">
              <w:rPr>
                <w:rStyle w:val="FootnoteReference"/>
                <w:color w:val="auto"/>
                <w:szCs w:val="16"/>
                <w:lang w:val="en-GB"/>
              </w:rPr>
              <w:footnoteReference w:id="2"/>
            </w:r>
            <w:r w:rsidRPr="00AA5D8E">
              <w:rPr>
                <w:color w:val="auto"/>
                <w:sz w:val="16"/>
                <w:szCs w:val="16"/>
                <w:lang w:val="en-GB"/>
              </w:rPr>
              <w:t>. Under article 33º para. 4 and 5 a) of the Tax Benefits Statute both interest and royalties income derived from no</w:t>
            </w:r>
            <w:r w:rsidR="002D4DA0" w:rsidRPr="00AA5D8E">
              <w:rPr>
                <w:color w:val="auto"/>
                <w:sz w:val="16"/>
                <w:szCs w:val="16"/>
                <w:lang w:val="en-GB"/>
              </w:rPr>
              <w:t>n</w:t>
            </w:r>
            <w:r w:rsidRPr="00AA5D8E">
              <w:rPr>
                <w:color w:val="auto"/>
                <w:sz w:val="16"/>
                <w:szCs w:val="16"/>
                <w:lang w:val="en-GB"/>
              </w:rPr>
              <w:t>-residen</w:t>
            </w:r>
            <w:r w:rsidR="002D4DA0" w:rsidRPr="00AA5D8E">
              <w:rPr>
                <w:color w:val="auto"/>
                <w:sz w:val="16"/>
                <w:szCs w:val="16"/>
                <w:lang w:val="en-GB"/>
              </w:rPr>
              <w:t>t sources is exempt</w:t>
            </w:r>
            <w:r w:rsidRPr="00AA5D8E">
              <w:rPr>
                <w:color w:val="auto"/>
                <w:sz w:val="16"/>
                <w:szCs w:val="16"/>
                <w:lang w:val="en-GB"/>
              </w:rPr>
              <w:t>ed from corporation income tax</w:t>
            </w:r>
            <w:r w:rsidR="002D4DA0" w:rsidRPr="00AA5D8E">
              <w:rPr>
                <w:color w:val="auto"/>
                <w:sz w:val="16"/>
                <w:szCs w:val="16"/>
                <w:lang w:val="en-GB"/>
              </w:rPr>
              <w:t xml:space="preserve"> (CIT)</w:t>
            </w:r>
            <w:r w:rsidRPr="00AA5D8E">
              <w:rPr>
                <w:color w:val="auto"/>
                <w:sz w:val="16"/>
                <w:szCs w:val="16"/>
                <w:lang w:val="en-GB"/>
              </w:rPr>
              <w:t xml:space="preserve"> </w:t>
            </w:r>
            <w:r w:rsidR="002D4DA0" w:rsidRPr="00AA5D8E">
              <w:rPr>
                <w:color w:val="auto"/>
                <w:sz w:val="16"/>
                <w:szCs w:val="16"/>
                <w:lang w:val="en-GB"/>
              </w:rPr>
              <w:t>for entities set up in the offshore of Madeira and Santa Maria Island.</w:t>
            </w:r>
          </w:p>
        </w:tc>
      </w:tr>
      <w:tr w:rsidR="0097352D" w:rsidRPr="00AA5D8E"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AA5D8E" w:rsidRDefault="0097352D" w:rsidP="00427661">
            <w:pPr>
              <w:rPr>
                <w:color w:val="auto"/>
                <w:lang w:val="en-GB"/>
              </w:rPr>
            </w:pPr>
            <w:r w:rsidRPr="00AA5D8E">
              <w:rPr>
                <w:i/>
                <w:color w:val="auto"/>
                <w:sz w:val="16"/>
                <w:szCs w:val="16"/>
                <w:lang w:val="en-GB"/>
              </w:rPr>
              <w:t>Dividends received</w:t>
            </w:r>
          </w:p>
        </w:tc>
      </w:tr>
      <w:tr w:rsidR="0097352D" w:rsidRPr="00AA5D8E"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AA5D8E" w:rsidRDefault="0097352D" w:rsidP="00427661">
            <w:pPr>
              <w:pStyle w:val="ListNumber"/>
              <w:tabs>
                <w:tab w:val="clear" w:pos="284"/>
              </w:tabs>
              <w:ind w:left="340" w:hanging="340"/>
              <w:jc w:val="left"/>
              <w:rPr>
                <w:b w:val="0"/>
                <w:color w:val="auto"/>
                <w:sz w:val="16"/>
                <w:szCs w:val="16"/>
                <w:lang w:val="en-GB"/>
              </w:rPr>
            </w:pPr>
            <w:r w:rsidRPr="00AA5D8E">
              <w:rPr>
                <w:b w:val="0"/>
                <w:color w:val="auto"/>
                <w:sz w:val="16"/>
                <w:szCs w:val="16"/>
                <w:lang w:val="en-GB"/>
              </w:rPr>
              <w:t>Is it possible for a company in your MS to receive dividends from a foreign company free of tax (or at a greatly reduced rate of tax</w:t>
            </w:r>
            <w:r w:rsidR="00A30052" w:rsidRPr="00AA5D8E">
              <w:rPr>
                <w:b w:val="0"/>
                <w:color w:val="auto"/>
                <w:sz w:val="16"/>
                <w:szCs w:val="16"/>
                <w:lang w:val="en-GB"/>
              </w:rPr>
              <w:t>, e.g. 95% tax-exemption</w:t>
            </w:r>
            <w:r w:rsidRPr="00AA5D8E">
              <w:rPr>
                <w:b w:val="0"/>
                <w:color w:val="auto"/>
                <w:sz w:val="16"/>
                <w:szCs w:val="16"/>
                <w:lang w:val="en-GB"/>
              </w:rPr>
              <w:t>)?</w:t>
            </w:r>
          </w:p>
        </w:tc>
        <w:tc>
          <w:tcPr>
            <w:tcW w:w="3933" w:type="dxa"/>
          </w:tcPr>
          <w:p w14:paraId="112526B4" w14:textId="0509E062" w:rsidR="00F12FEB" w:rsidRPr="00AA5D8E" w:rsidRDefault="00F12FEB" w:rsidP="00F12FEB">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 xml:space="preserve">Yes. Dividends covered by the so-called participation exemption regime are tax exempt, cf. article 51 of the </w:t>
            </w:r>
            <w:r w:rsidR="005F61E7" w:rsidRPr="00AA5D8E">
              <w:rPr>
                <w:color w:val="auto"/>
                <w:sz w:val="16"/>
                <w:szCs w:val="16"/>
                <w:lang w:val="en-GB"/>
              </w:rPr>
              <w:t>Corporate Income Tax Code (</w:t>
            </w:r>
            <w:r w:rsidRPr="00AA5D8E">
              <w:rPr>
                <w:color w:val="auto"/>
                <w:sz w:val="16"/>
                <w:szCs w:val="16"/>
                <w:lang w:val="en-GB"/>
              </w:rPr>
              <w:t>CIRC</w:t>
            </w:r>
            <w:r w:rsidR="005F61E7" w:rsidRPr="00AA5D8E">
              <w:rPr>
                <w:color w:val="auto"/>
                <w:sz w:val="16"/>
                <w:szCs w:val="16"/>
                <w:lang w:val="en-GB"/>
              </w:rPr>
              <w:t>)</w:t>
            </w:r>
            <w:r w:rsidR="005F61E7" w:rsidRPr="00AA5D8E">
              <w:rPr>
                <w:rStyle w:val="FootnoteReference"/>
                <w:color w:val="auto"/>
                <w:szCs w:val="16"/>
                <w:lang w:val="en-GB"/>
              </w:rPr>
              <w:footnoteReference w:id="3"/>
            </w:r>
            <w:r w:rsidRPr="00AA5D8E">
              <w:rPr>
                <w:color w:val="auto"/>
                <w:sz w:val="16"/>
                <w:szCs w:val="16"/>
                <w:lang w:val="en-GB"/>
              </w:rPr>
              <w:t>.</w:t>
            </w:r>
          </w:p>
          <w:p w14:paraId="594A9158" w14:textId="77777777" w:rsidR="00F12FEB" w:rsidRPr="00AA5D8E" w:rsidRDefault="00F12FEB" w:rsidP="00F12FEB">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06EC42A" w14:textId="4DA474E4" w:rsidR="00F12FEB" w:rsidRPr="00AA5D8E" w:rsidRDefault="00F12FEB" w:rsidP="00F12FE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It is a requirement that the receiving (resident) parent company is not subject to</w:t>
            </w:r>
            <w:r w:rsidR="00CE5D01" w:rsidRPr="00AA5D8E">
              <w:rPr>
                <w:color w:val="auto"/>
                <w:sz w:val="16"/>
                <w:szCs w:val="16"/>
                <w:lang w:val="en-GB"/>
              </w:rPr>
              <w:t xml:space="preserve"> the </w:t>
            </w:r>
            <w:r w:rsidR="005F61E7" w:rsidRPr="00AA5D8E">
              <w:rPr>
                <w:color w:val="auto"/>
                <w:sz w:val="16"/>
                <w:szCs w:val="16"/>
                <w:lang w:val="en-GB"/>
              </w:rPr>
              <w:t xml:space="preserve">tax transparency regime and that the </w:t>
            </w:r>
            <w:r w:rsidR="00CE5D01" w:rsidRPr="00AA5D8E">
              <w:rPr>
                <w:color w:val="auto"/>
                <w:sz w:val="16"/>
                <w:szCs w:val="16"/>
                <w:lang w:val="en-GB"/>
              </w:rPr>
              <w:t>paying</w:t>
            </w:r>
            <w:r w:rsidR="005F61E7" w:rsidRPr="00AA5D8E">
              <w:rPr>
                <w:color w:val="auto"/>
                <w:sz w:val="16"/>
                <w:szCs w:val="16"/>
                <w:lang w:val="en-GB"/>
              </w:rPr>
              <w:t xml:space="preserve"> </w:t>
            </w:r>
            <w:r w:rsidR="00CE5D01" w:rsidRPr="00AA5D8E">
              <w:rPr>
                <w:color w:val="auto"/>
                <w:sz w:val="16"/>
                <w:szCs w:val="16"/>
                <w:lang w:val="en-GB"/>
              </w:rPr>
              <w:t xml:space="preserve">company is not set up in a </w:t>
            </w:r>
            <w:r w:rsidR="005F61E7" w:rsidRPr="00AA5D8E">
              <w:rPr>
                <w:color w:val="auto"/>
                <w:sz w:val="16"/>
                <w:szCs w:val="16"/>
                <w:lang w:val="en-GB"/>
              </w:rPr>
              <w:t xml:space="preserve">blacklisted jurisdiction (i.e. list of countries, territories and regions that provide a more favorable tax regime according to article 63.º D of the General Tax Law and, settled by Ministerial Order - Portaria  150/2004, of 13 February, </w:t>
            </w:r>
            <w:r w:rsidR="005F61E7" w:rsidRPr="00AA5D8E">
              <w:rPr>
                <w:color w:val="auto"/>
                <w:sz w:val="16"/>
                <w:szCs w:val="16"/>
                <w:lang w:val="en-GB"/>
              </w:rPr>
              <w:lastRenderedPageBreak/>
              <w:t>amended by Portaria 292/2011, of 8 November)</w:t>
            </w:r>
            <w:r w:rsidR="005F61E7" w:rsidRPr="00AA5D8E">
              <w:rPr>
                <w:rStyle w:val="FootnoteReference"/>
                <w:color w:val="auto"/>
                <w:szCs w:val="16"/>
                <w:lang w:val="en-GB"/>
              </w:rPr>
              <w:t xml:space="preserve"> </w:t>
            </w:r>
            <w:r w:rsidR="005F61E7" w:rsidRPr="00AA5D8E">
              <w:rPr>
                <w:rStyle w:val="FootnoteReference"/>
                <w:color w:val="auto"/>
                <w:szCs w:val="16"/>
                <w:lang w:val="en-GB"/>
              </w:rPr>
              <w:footnoteReference w:id="4"/>
            </w:r>
            <w:r w:rsidR="005F61E7" w:rsidRPr="00AA5D8E">
              <w:rPr>
                <w:color w:val="auto"/>
                <w:sz w:val="16"/>
                <w:szCs w:val="16"/>
                <w:lang w:val="en-GB"/>
              </w:rPr>
              <w:t>.</w:t>
            </w:r>
          </w:p>
          <w:p w14:paraId="0EF9685B" w14:textId="77777777" w:rsidR="0097352D" w:rsidRPr="00AA5D8E" w:rsidRDefault="0097352D" w:rsidP="00F12FEB">
            <w:pP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7352D" w:rsidRPr="00AA5D8E"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AA5D8E" w:rsidRDefault="0097352D" w:rsidP="00427661">
            <w:pPr>
              <w:pStyle w:val="ListNumber"/>
              <w:tabs>
                <w:tab w:val="clear" w:pos="284"/>
              </w:tabs>
              <w:ind w:left="340" w:hanging="340"/>
              <w:jc w:val="left"/>
              <w:rPr>
                <w:b w:val="0"/>
                <w:color w:val="auto"/>
                <w:sz w:val="16"/>
                <w:szCs w:val="16"/>
                <w:lang w:val="en-GB"/>
              </w:rPr>
            </w:pPr>
            <w:r w:rsidRPr="00AA5D8E">
              <w:rPr>
                <w:b w:val="0"/>
                <w:color w:val="auto"/>
                <w:sz w:val="16"/>
                <w:szCs w:val="16"/>
                <w:lang w:val="en-GB"/>
              </w:rPr>
              <w:lastRenderedPageBreak/>
              <w:t xml:space="preserve">If yes to question </w:t>
            </w:r>
            <w:r w:rsidR="003A6F57" w:rsidRPr="00AA5D8E">
              <w:rPr>
                <w:b w:val="0"/>
                <w:color w:val="auto"/>
                <w:sz w:val="16"/>
                <w:szCs w:val="16"/>
                <w:lang w:val="en-GB"/>
              </w:rPr>
              <w:t>3</w:t>
            </w:r>
            <w:r w:rsidRPr="00AA5D8E">
              <w:rPr>
                <w:b w:val="0"/>
                <w:color w:val="auto"/>
                <w:sz w:val="16"/>
                <w:szCs w:val="16"/>
                <w:lang w:val="en-GB"/>
              </w:rPr>
              <w:t>:</w:t>
            </w:r>
          </w:p>
        </w:tc>
        <w:tc>
          <w:tcPr>
            <w:tcW w:w="3933" w:type="dxa"/>
          </w:tcPr>
          <w:p w14:paraId="5CB904D3" w14:textId="77777777" w:rsidR="0097352D" w:rsidRPr="00AA5D8E"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AA5D8E"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AA5D8E" w:rsidRDefault="00455A2B" w:rsidP="00455A2B">
            <w:pPr>
              <w:pStyle w:val="ListParagraph"/>
              <w:numPr>
                <w:ilvl w:val="0"/>
                <w:numId w:val="20"/>
              </w:numPr>
              <w:spacing w:line="240" w:lineRule="auto"/>
              <w:jc w:val="left"/>
              <w:rPr>
                <w:b w:val="0"/>
                <w:sz w:val="16"/>
                <w:szCs w:val="16"/>
                <w:lang w:val="en-GB"/>
              </w:rPr>
            </w:pPr>
            <w:r w:rsidRPr="00AA5D8E">
              <w:rPr>
                <w:b w:val="0"/>
                <w:sz w:val="16"/>
                <w:szCs w:val="16"/>
                <w:lang w:val="en-GB"/>
              </w:rPr>
              <w:t>Does this apply regardless of the tax residence of the distributing company, e.g. Member State, treaty state, tax haven?</w:t>
            </w:r>
          </w:p>
        </w:tc>
        <w:tc>
          <w:tcPr>
            <w:tcW w:w="3933" w:type="dxa"/>
          </w:tcPr>
          <w:p w14:paraId="61949643" w14:textId="39D4C58E" w:rsidR="00F12FEB" w:rsidRPr="00AA5D8E" w:rsidRDefault="00F12FEB" w:rsidP="00F12FEB">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The participation exemption</w:t>
            </w:r>
            <w:r w:rsidR="005F61E7" w:rsidRPr="00AA5D8E">
              <w:rPr>
                <w:color w:val="auto"/>
                <w:sz w:val="16"/>
                <w:szCs w:val="16"/>
                <w:lang w:val="en-GB"/>
              </w:rPr>
              <w:t xml:space="preserve"> regime</w:t>
            </w:r>
            <w:r w:rsidRPr="00AA5D8E">
              <w:rPr>
                <w:color w:val="auto"/>
                <w:sz w:val="16"/>
                <w:szCs w:val="16"/>
                <w:lang w:val="en-GB"/>
              </w:rPr>
              <w:t xml:space="preserve"> only applies, if: </w:t>
            </w:r>
          </w:p>
          <w:p w14:paraId="0EBCB41B" w14:textId="03C2E6BB" w:rsidR="005F61E7" w:rsidRPr="00AA5D8E" w:rsidRDefault="00F12FEB" w:rsidP="00AA5D8E">
            <w:pPr>
              <w:pStyle w:val="ListParagraph"/>
              <w:numPr>
                <w:ilvl w:val="0"/>
                <w:numId w:val="31"/>
              </w:num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AA5D8E">
              <w:rPr>
                <w:rFonts w:eastAsiaTheme="minorHAnsi" w:cstheme="minorBidi"/>
                <w:sz w:val="16"/>
                <w:szCs w:val="16"/>
                <w:lang w:val="en-GB" w:eastAsia="en-US"/>
              </w:rPr>
              <w:t>The distributing subsidiary is subject, in the state of its residence, without being exempt, to a corporate income tax as listed in the EU Parent-Subsidiary</w:t>
            </w:r>
            <w:r w:rsidR="005A431A" w:rsidRPr="00AA5D8E">
              <w:rPr>
                <w:rFonts w:eastAsiaTheme="minorHAnsi" w:cstheme="minorBidi"/>
                <w:sz w:val="16"/>
                <w:szCs w:val="16"/>
                <w:lang w:val="en-GB" w:eastAsia="en-US"/>
              </w:rPr>
              <w:t xml:space="preserve"> Directive (2011/96), </w:t>
            </w:r>
            <w:r w:rsidRPr="00AA5D8E">
              <w:rPr>
                <w:rFonts w:eastAsiaTheme="minorHAnsi" w:cstheme="minorBidi"/>
                <w:sz w:val="16"/>
                <w:szCs w:val="16"/>
                <w:lang w:val="en-GB" w:eastAsia="en-US"/>
              </w:rPr>
              <w:t>or a tax comparable to the Portuguese IRC at a nominal rate which corresponds to at least 60% of the Portuguese IRC (i.e.</w:t>
            </w:r>
            <w:r w:rsidR="005F61E7" w:rsidRPr="00AA5D8E">
              <w:rPr>
                <w:rFonts w:eastAsiaTheme="minorHAnsi" w:cstheme="minorBidi"/>
                <w:sz w:val="16"/>
                <w:szCs w:val="16"/>
                <w:lang w:val="en-GB" w:eastAsia="en-US"/>
              </w:rPr>
              <w:t>12,6%);</w:t>
            </w:r>
          </w:p>
          <w:p w14:paraId="730A8185" w14:textId="0901A730" w:rsidR="00455A2B" w:rsidRPr="00AA5D8E" w:rsidRDefault="005F61E7" w:rsidP="00AA5D8E">
            <w:pPr>
              <w:pStyle w:val="ListParagraph"/>
              <w:numPr>
                <w:ilvl w:val="0"/>
                <w:numId w:val="31"/>
              </w:num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sidRPr="00AA5D8E">
              <w:rPr>
                <w:rFonts w:eastAsiaTheme="minorHAnsi" w:cstheme="minorBidi"/>
                <w:sz w:val="16"/>
                <w:szCs w:val="16"/>
                <w:lang w:val="en-GB" w:eastAsia="en-US"/>
              </w:rPr>
              <w:t>The distributing subsidiary is not resident in a blacklisted jurisdiction (see Portaria 150/2004 and amendments in Portaria 292/2011).</w:t>
            </w:r>
          </w:p>
        </w:tc>
      </w:tr>
      <w:tr w:rsidR="0097352D" w:rsidRPr="00AA5D8E"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AA5D8E" w:rsidRDefault="0097352D" w:rsidP="00427661">
            <w:pPr>
              <w:pStyle w:val="ListParagraph"/>
              <w:numPr>
                <w:ilvl w:val="0"/>
                <w:numId w:val="20"/>
              </w:numPr>
              <w:spacing w:line="240" w:lineRule="auto"/>
              <w:jc w:val="left"/>
              <w:rPr>
                <w:b w:val="0"/>
                <w:sz w:val="16"/>
                <w:szCs w:val="16"/>
                <w:lang w:val="en-GB"/>
              </w:rPr>
            </w:pPr>
            <w:r w:rsidRPr="00AA5D8E">
              <w:rPr>
                <w:b w:val="0"/>
                <w:sz w:val="16"/>
                <w:szCs w:val="16"/>
                <w:lang w:val="en-GB"/>
              </w:rPr>
              <w:t xml:space="preserve">Does this apply regardless of the level of shareholding or voting rights held in the distributing company?  </w:t>
            </w:r>
          </w:p>
        </w:tc>
        <w:tc>
          <w:tcPr>
            <w:tcW w:w="3933" w:type="dxa"/>
          </w:tcPr>
          <w:p w14:paraId="7398895C" w14:textId="389EE245" w:rsidR="0097352D" w:rsidRPr="00AA5D8E" w:rsidRDefault="00F12FE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The participation exemption </w:t>
            </w:r>
            <w:r w:rsidR="005F61E7" w:rsidRPr="00AA5D8E">
              <w:rPr>
                <w:color w:val="auto"/>
                <w:sz w:val="16"/>
                <w:szCs w:val="16"/>
                <w:lang w:val="en-GB"/>
              </w:rPr>
              <w:t xml:space="preserve">regime </w:t>
            </w:r>
            <w:r w:rsidRPr="00AA5D8E">
              <w:rPr>
                <w:color w:val="auto"/>
                <w:sz w:val="16"/>
                <w:szCs w:val="16"/>
                <w:lang w:val="en-GB"/>
              </w:rPr>
              <w:t>only applies, if the Portuguese parent has a holding of at least 5% in the capital of the subsidiary for an uninterrupted period of at least 2 years.</w:t>
            </w:r>
          </w:p>
        </w:tc>
      </w:tr>
      <w:tr w:rsidR="0097352D" w:rsidRPr="00AA5D8E"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AA5D8E" w:rsidRDefault="0097352D" w:rsidP="00427661">
            <w:pPr>
              <w:pStyle w:val="ListParagraph"/>
              <w:numPr>
                <w:ilvl w:val="0"/>
                <w:numId w:val="20"/>
              </w:numPr>
              <w:spacing w:line="240" w:lineRule="auto"/>
              <w:jc w:val="left"/>
              <w:rPr>
                <w:b w:val="0"/>
                <w:sz w:val="16"/>
                <w:szCs w:val="16"/>
                <w:lang w:val="en-GB"/>
              </w:rPr>
            </w:pPr>
            <w:r w:rsidRPr="00AA5D8E">
              <w:rPr>
                <w:b w:val="0"/>
                <w:sz w:val="16"/>
                <w:szCs w:val="16"/>
                <w:lang w:val="en-GB"/>
              </w:rPr>
              <w:t>Does this also apply if the dividends have been deducted by the distributing company in its taxable income?</w:t>
            </w:r>
          </w:p>
        </w:tc>
        <w:tc>
          <w:tcPr>
            <w:tcW w:w="3933" w:type="dxa"/>
          </w:tcPr>
          <w:p w14:paraId="05E659EA" w14:textId="6D038A7E" w:rsidR="0097352D" w:rsidRPr="00AA5D8E" w:rsidRDefault="00F12FEB" w:rsidP="00F12FEB">
            <w:pPr>
              <w:cnfStyle w:val="000000100000" w:firstRow="0" w:lastRow="0" w:firstColumn="0" w:lastColumn="0" w:oddVBand="0" w:evenVBand="0" w:oddHBand="1" w:evenHBand="0" w:firstRowFirstColumn="0" w:firstRowLastColumn="0" w:lastRowFirstColumn="0" w:lastRowLastColumn="0"/>
              <w:rPr>
                <w:sz w:val="16"/>
                <w:szCs w:val="16"/>
                <w:lang w:val="en-GB"/>
              </w:rPr>
            </w:pPr>
            <w:r w:rsidRPr="00AA5D8E">
              <w:rPr>
                <w:color w:val="auto"/>
                <w:sz w:val="16"/>
                <w:szCs w:val="16"/>
                <w:lang w:val="en-GB"/>
              </w:rPr>
              <w:t>The participation exemption does not apply if the dividends are deducted when determining the profits of the distributing company</w:t>
            </w:r>
            <w:r w:rsidR="005F61E7" w:rsidRPr="00AA5D8E">
              <w:rPr>
                <w:color w:val="auto"/>
                <w:sz w:val="16"/>
                <w:szCs w:val="16"/>
                <w:lang w:val="en-GB"/>
              </w:rPr>
              <w:t xml:space="preserve"> (cf. article 51 para. 10 of the CIRC)</w:t>
            </w:r>
            <w:r w:rsidRPr="00AA5D8E">
              <w:rPr>
                <w:color w:val="auto"/>
                <w:sz w:val="16"/>
                <w:szCs w:val="16"/>
                <w:lang w:val="en-GB"/>
              </w:rPr>
              <w:t>.</w:t>
            </w:r>
          </w:p>
        </w:tc>
      </w:tr>
      <w:tr w:rsidR="0097352D" w:rsidRPr="00AA5D8E"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AA5D8E" w:rsidRDefault="00946523" w:rsidP="00427661">
            <w:pPr>
              <w:pStyle w:val="ListParagraph"/>
              <w:numPr>
                <w:ilvl w:val="0"/>
                <w:numId w:val="20"/>
              </w:numPr>
              <w:spacing w:line="240" w:lineRule="auto"/>
              <w:jc w:val="left"/>
              <w:rPr>
                <w:b w:val="0"/>
                <w:sz w:val="16"/>
                <w:szCs w:val="16"/>
                <w:lang w:val="en-GB"/>
              </w:rPr>
            </w:pPr>
            <w:r w:rsidRPr="00AA5D8E">
              <w:rPr>
                <w:b w:val="0"/>
                <w:sz w:val="16"/>
                <w:szCs w:val="16"/>
                <w:lang w:val="en-GB"/>
              </w:rPr>
              <w:t xml:space="preserve">If yes to b, how will the recent amendment of Article 4 of the EU Parent/Subsidiary </w:t>
            </w:r>
            <w:r w:rsidR="00A30052" w:rsidRPr="00AA5D8E">
              <w:rPr>
                <w:b w:val="0"/>
                <w:sz w:val="16"/>
                <w:szCs w:val="16"/>
                <w:lang w:val="en-GB"/>
              </w:rPr>
              <w:t>Directive, which</w:t>
            </w:r>
            <w:r w:rsidRPr="00AA5D8E">
              <w:rPr>
                <w:b w:val="0"/>
                <w:sz w:val="16"/>
                <w:szCs w:val="16"/>
                <w:lang w:val="en-GB"/>
              </w:rPr>
              <w:t xml:space="preserve"> requires Member States to tax dividends if they have been deducted by the subsidiary, affect your answer?</w:t>
            </w:r>
          </w:p>
        </w:tc>
        <w:tc>
          <w:tcPr>
            <w:tcW w:w="3933" w:type="dxa"/>
          </w:tcPr>
          <w:p w14:paraId="18FA869B" w14:textId="704D53CA" w:rsidR="0097352D" w:rsidRPr="00AA5D8E" w:rsidRDefault="00F12FE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 rule introduced by the</w:t>
            </w:r>
            <w:r w:rsidR="002C7580" w:rsidRPr="00AA5D8E">
              <w:rPr>
                <w:color w:val="auto"/>
                <w:sz w:val="16"/>
                <w:szCs w:val="16"/>
                <w:lang w:val="en-GB"/>
              </w:rPr>
              <w:t xml:space="preserve"> amendment has already been implemented in the </w:t>
            </w:r>
            <w:r w:rsidRPr="00AA5D8E">
              <w:rPr>
                <w:color w:val="auto"/>
                <w:sz w:val="16"/>
                <w:szCs w:val="16"/>
                <w:lang w:val="en-GB"/>
              </w:rPr>
              <w:t>Portuguese law.</w:t>
            </w:r>
          </w:p>
        </w:tc>
      </w:tr>
      <w:tr w:rsidR="0097352D" w:rsidRPr="00AA5D8E"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AA5D8E" w:rsidRDefault="0097352D" w:rsidP="00427661">
            <w:pPr>
              <w:rPr>
                <w:lang w:val="en-GB"/>
              </w:rPr>
            </w:pPr>
            <w:r w:rsidRPr="00AA5D8E">
              <w:rPr>
                <w:i/>
                <w:sz w:val="16"/>
                <w:szCs w:val="16"/>
                <w:lang w:val="en-GB"/>
              </w:rPr>
              <w:t>Dividends paid</w:t>
            </w:r>
          </w:p>
        </w:tc>
      </w:tr>
      <w:tr w:rsidR="0097352D" w:rsidRPr="00AA5D8E"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AA5D8E" w:rsidRDefault="0097352D" w:rsidP="00427661">
            <w:pPr>
              <w:pStyle w:val="ListNumber"/>
              <w:tabs>
                <w:tab w:val="clear" w:pos="284"/>
              </w:tabs>
              <w:ind w:left="340" w:hanging="340"/>
              <w:jc w:val="left"/>
              <w:rPr>
                <w:b w:val="0"/>
                <w:i/>
                <w:color w:val="auto"/>
                <w:sz w:val="16"/>
                <w:szCs w:val="16"/>
                <w:lang w:val="en-GB"/>
              </w:rPr>
            </w:pPr>
            <w:r w:rsidRPr="00AA5D8E">
              <w:rPr>
                <w:b w:val="0"/>
                <w:color w:val="auto"/>
                <w:sz w:val="16"/>
                <w:szCs w:val="16"/>
                <w:lang w:val="en-GB"/>
              </w:rPr>
              <w:t>Is it possible for a company in your MS to distribute dividends to a foreign company without any withholding tax?</w:t>
            </w:r>
          </w:p>
        </w:tc>
        <w:tc>
          <w:tcPr>
            <w:tcW w:w="3933" w:type="dxa"/>
          </w:tcPr>
          <w:p w14:paraId="6A6D038E" w14:textId="7D867101" w:rsidR="0097352D" w:rsidRPr="00AA5D8E" w:rsidRDefault="00F12FE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r w:rsidR="00A05791" w:rsidRPr="00AA5D8E">
              <w:rPr>
                <w:color w:val="auto"/>
                <w:sz w:val="16"/>
                <w:szCs w:val="16"/>
                <w:lang w:val="en-GB"/>
              </w:rPr>
              <w:t xml:space="preserve"> See art. 14 para. 3</w:t>
            </w:r>
            <w:r w:rsidR="00581FF4" w:rsidRPr="00AA5D8E">
              <w:rPr>
                <w:color w:val="auto"/>
                <w:sz w:val="16"/>
                <w:szCs w:val="16"/>
                <w:lang w:val="en-GB"/>
              </w:rPr>
              <w:t xml:space="preserve"> and 8</w:t>
            </w:r>
            <w:r w:rsidR="00A05791" w:rsidRPr="00AA5D8E">
              <w:rPr>
                <w:color w:val="auto"/>
                <w:sz w:val="16"/>
                <w:szCs w:val="16"/>
                <w:lang w:val="en-GB"/>
              </w:rPr>
              <w:t xml:space="preserve"> of the CIRC (Corporate Income Tax Code).</w:t>
            </w:r>
          </w:p>
        </w:tc>
      </w:tr>
      <w:tr w:rsidR="0097352D" w:rsidRPr="00AA5D8E"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AA5D8E" w:rsidRDefault="0097352D" w:rsidP="00427661">
            <w:pPr>
              <w:pStyle w:val="ListNumber"/>
              <w:rPr>
                <w:b w:val="0"/>
                <w:color w:val="auto"/>
                <w:sz w:val="16"/>
                <w:szCs w:val="16"/>
                <w:lang w:val="en-GB"/>
              </w:rPr>
            </w:pPr>
            <w:r w:rsidRPr="00AA5D8E">
              <w:rPr>
                <w:b w:val="0"/>
                <w:color w:val="auto"/>
                <w:sz w:val="16"/>
                <w:szCs w:val="16"/>
                <w:lang w:val="en-GB"/>
              </w:rPr>
              <w:t xml:space="preserve">If yes to </w:t>
            </w:r>
            <w:r w:rsidR="003A6F57" w:rsidRPr="00AA5D8E">
              <w:rPr>
                <w:b w:val="0"/>
                <w:color w:val="auto"/>
                <w:sz w:val="16"/>
                <w:szCs w:val="16"/>
                <w:lang w:val="en-GB"/>
              </w:rPr>
              <w:t>5</w:t>
            </w:r>
            <w:r w:rsidRPr="00AA5D8E">
              <w:rPr>
                <w:b w:val="0"/>
                <w:color w:val="auto"/>
                <w:sz w:val="16"/>
                <w:szCs w:val="16"/>
                <w:lang w:val="en-GB"/>
              </w:rPr>
              <w:t>,</w:t>
            </w:r>
          </w:p>
        </w:tc>
        <w:tc>
          <w:tcPr>
            <w:tcW w:w="3933" w:type="dxa"/>
          </w:tcPr>
          <w:p w14:paraId="26D500E5" w14:textId="77777777" w:rsidR="0097352D" w:rsidRPr="00AA5D8E"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AA5D8E"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AA5D8E" w:rsidRDefault="0097352D" w:rsidP="00427661">
            <w:pPr>
              <w:pStyle w:val="ListParagraph"/>
              <w:numPr>
                <w:ilvl w:val="0"/>
                <w:numId w:val="24"/>
              </w:numPr>
              <w:spacing w:line="240" w:lineRule="auto"/>
              <w:jc w:val="left"/>
              <w:rPr>
                <w:b w:val="0"/>
                <w:sz w:val="16"/>
                <w:szCs w:val="16"/>
                <w:lang w:val="en-GB"/>
              </w:rPr>
            </w:pPr>
            <w:r w:rsidRPr="00AA5D8E">
              <w:rPr>
                <w:b w:val="0"/>
                <w:sz w:val="16"/>
                <w:szCs w:val="16"/>
                <w:lang w:val="en-GB"/>
              </w:rPr>
              <w:t>Does this apply regardless of the amount or percentage of shares</w:t>
            </w:r>
            <w:r w:rsidR="00A30052" w:rsidRPr="00AA5D8E">
              <w:rPr>
                <w:b w:val="0"/>
                <w:sz w:val="16"/>
                <w:szCs w:val="16"/>
                <w:lang w:val="en-GB"/>
              </w:rPr>
              <w:t>,</w:t>
            </w:r>
            <w:r w:rsidRPr="00AA5D8E">
              <w:rPr>
                <w:b w:val="0"/>
                <w:sz w:val="16"/>
                <w:szCs w:val="16"/>
                <w:lang w:val="en-GB"/>
              </w:rPr>
              <w:t xml:space="preserve"> which the foreign company holds?</w:t>
            </w:r>
          </w:p>
        </w:tc>
        <w:tc>
          <w:tcPr>
            <w:tcW w:w="3933" w:type="dxa"/>
          </w:tcPr>
          <w:p w14:paraId="528733BA" w14:textId="618F7D60" w:rsidR="0097352D" w:rsidRPr="00AA5D8E" w:rsidRDefault="00F12FE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The exemption only applies, if the foreign shareholder company holds at least 5% in the capital of the Portuguese company for an uninterrupted period of at least 2 years prior to the date of distribution.  </w:t>
            </w:r>
          </w:p>
        </w:tc>
      </w:tr>
      <w:tr w:rsidR="0097352D" w:rsidRPr="00AA5D8E"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AA5D8E" w:rsidRDefault="0097352D" w:rsidP="00427661">
            <w:pPr>
              <w:pStyle w:val="ListParagraph"/>
              <w:numPr>
                <w:ilvl w:val="0"/>
                <w:numId w:val="24"/>
              </w:numPr>
              <w:spacing w:line="240" w:lineRule="auto"/>
              <w:jc w:val="left"/>
              <w:rPr>
                <w:b w:val="0"/>
                <w:sz w:val="16"/>
                <w:szCs w:val="16"/>
                <w:lang w:val="en-GB"/>
              </w:rPr>
            </w:pPr>
            <w:r w:rsidRPr="00AA5D8E">
              <w:rPr>
                <w:b w:val="0"/>
                <w:sz w:val="16"/>
                <w:szCs w:val="16"/>
                <w:lang w:val="en-GB"/>
              </w:rPr>
              <w:t xml:space="preserve">Does this apply regardless of the tax residence of the foreign company, e.g. member state, treaty state, tax haven? </w:t>
            </w:r>
          </w:p>
        </w:tc>
        <w:tc>
          <w:tcPr>
            <w:tcW w:w="3933" w:type="dxa"/>
          </w:tcPr>
          <w:p w14:paraId="2638B080" w14:textId="40B2916C" w:rsidR="00F12FEB" w:rsidRPr="00AA5D8E" w:rsidRDefault="00F12FEB" w:rsidP="00F12FEB">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The exemption only applies, if the foreign shareholder company is resident in an EU Membe</w:t>
            </w:r>
            <w:r w:rsidR="00D06F73" w:rsidRPr="00AA5D8E">
              <w:rPr>
                <w:color w:val="auto"/>
                <w:sz w:val="16"/>
                <w:szCs w:val="16"/>
                <w:lang w:val="en-GB"/>
              </w:rPr>
              <w:t>r State</w:t>
            </w:r>
            <w:r w:rsidR="00E85315" w:rsidRPr="00AA5D8E">
              <w:rPr>
                <w:color w:val="auto"/>
                <w:sz w:val="16"/>
                <w:szCs w:val="16"/>
                <w:lang w:val="en-GB"/>
              </w:rPr>
              <w:t>, an EEA Member state</w:t>
            </w:r>
            <w:r w:rsidR="009505AE" w:rsidRPr="00AA5D8E">
              <w:rPr>
                <w:color w:val="auto"/>
                <w:sz w:val="16"/>
                <w:szCs w:val="16"/>
                <w:lang w:val="en-GB"/>
              </w:rPr>
              <w:t xml:space="preserve"> covered by an exchange of information agreement</w:t>
            </w:r>
            <w:r w:rsidR="00E85315" w:rsidRPr="00AA5D8E">
              <w:rPr>
                <w:color w:val="auto"/>
                <w:sz w:val="16"/>
                <w:szCs w:val="16"/>
                <w:lang w:val="en-GB"/>
              </w:rPr>
              <w:t xml:space="preserve"> or</w:t>
            </w:r>
            <w:r w:rsidRPr="00AA5D8E">
              <w:rPr>
                <w:color w:val="auto"/>
                <w:sz w:val="16"/>
                <w:szCs w:val="16"/>
                <w:lang w:val="en-GB"/>
              </w:rPr>
              <w:t xml:space="preserve"> in a country with which Portugal has signed a</w:t>
            </w:r>
            <w:r w:rsidR="009505AE" w:rsidRPr="00AA5D8E">
              <w:rPr>
                <w:color w:val="auto"/>
                <w:sz w:val="16"/>
                <w:szCs w:val="16"/>
                <w:lang w:val="en-GB"/>
              </w:rPr>
              <w:t xml:space="preserve"> double</w:t>
            </w:r>
            <w:r w:rsidRPr="00AA5D8E">
              <w:rPr>
                <w:color w:val="auto"/>
                <w:sz w:val="16"/>
                <w:szCs w:val="16"/>
                <w:lang w:val="en-GB"/>
              </w:rPr>
              <w:t xml:space="preserve"> tax</w:t>
            </w:r>
            <w:r w:rsidR="009505AE" w:rsidRPr="00AA5D8E">
              <w:rPr>
                <w:color w:val="auto"/>
                <w:sz w:val="16"/>
                <w:szCs w:val="16"/>
                <w:lang w:val="en-GB"/>
              </w:rPr>
              <w:t>ation income</w:t>
            </w:r>
            <w:r w:rsidR="00D06F73" w:rsidRPr="00AA5D8E">
              <w:rPr>
                <w:color w:val="auto"/>
                <w:sz w:val="16"/>
                <w:szCs w:val="16"/>
                <w:lang w:val="en-GB"/>
              </w:rPr>
              <w:t xml:space="preserve"> treaty that includes an exchange of information clause.</w:t>
            </w:r>
          </w:p>
          <w:p w14:paraId="67D7E023" w14:textId="77777777" w:rsidR="00F12FEB" w:rsidRPr="00AA5D8E" w:rsidRDefault="00F12FEB" w:rsidP="00F12FEB">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5CE329" w14:textId="5FBE7D0C" w:rsidR="0097352D" w:rsidRPr="00AA5D8E" w:rsidRDefault="00F12FEB" w:rsidP="00F12FE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Further, it is a requirement that the receiving company is subject, in the state of its residence, without being exempt, to a corporate income tax as listed in the EU Parent-Subsidiary Directive (2011/96), or a tax comparable to the Portuguese IRC at a nominal rate which corresponds to at least 60% of the Portuguese IRC (i.e. 13.8%).</w:t>
            </w:r>
          </w:p>
        </w:tc>
      </w:tr>
      <w:tr w:rsidR="0097352D" w:rsidRPr="00AA5D8E"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AA5D8E" w:rsidRDefault="0097352D" w:rsidP="00427661">
            <w:pPr>
              <w:pStyle w:val="ListParagraph"/>
              <w:numPr>
                <w:ilvl w:val="0"/>
                <w:numId w:val="24"/>
              </w:numPr>
              <w:spacing w:line="240" w:lineRule="auto"/>
              <w:jc w:val="left"/>
              <w:rPr>
                <w:b w:val="0"/>
                <w:sz w:val="16"/>
                <w:szCs w:val="16"/>
                <w:lang w:val="en-GB"/>
              </w:rPr>
            </w:pPr>
            <w:r w:rsidRPr="00AA5D8E">
              <w:rPr>
                <w:b w:val="0"/>
                <w:sz w:val="16"/>
                <w:szCs w:val="16"/>
                <w:lang w:val="en-GB"/>
              </w:rPr>
              <w:t>Is the withholding tax exemption subject to a beneficial ownership requirement similar to that of the OECD model tax convention?</w:t>
            </w:r>
          </w:p>
        </w:tc>
        <w:tc>
          <w:tcPr>
            <w:tcW w:w="3933" w:type="dxa"/>
          </w:tcPr>
          <w:p w14:paraId="25D7E6A5" w14:textId="72F90FC7" w:rsidR="0097352D" w:rsidRPr="00AA5D8E" w:rsidRDefault="00F118EA"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97352D" w:rsidRPr="00AA5D8E"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AA5D8E" w:rsidRDefault="0097352D" w:rsidP="00427661">
            <w:pPr>
              <w:pStyle w:val="ListParagraph"/>
              <w:numPr>
                <w:ilvl w:val="0"/>
                <w:numId w:val="24"/>
              </w:numPr>
              <w:spacing w:line="240" w:lineRule="auto"/>
              <w:jc w:val="left"/>
              <w:rPr>
                <w:b w:val="0"/>
                <w:sz w:val="16"/>
                <w:szCs w:val="16"/>
                <w:lang w:val="en-GB"/>
              </w:rPr>
            </w:pPr>
            <w:r w:rsidRPr="00AA5D8E">
              <w:rPr>
                <w:b w:val="0"/>
                <w:sz w:val="16"/>
                <w:szCs w:val="16"/>
                <w:lang w:val="en-GB"/>
              </w:rPr>
              <w:lastRenderedPageBreak/>
              <w:t>Is the withholding tax exemption subject to any other anti-avoidance requirements, e.g. based on substance of the recipient? If yes, please briefly explain.</w:t>
            </w:r>
          </w:p>
        </w:tc>
        <w:tc>
          <w:tcPr>
            <w:tcW w:w="3933" w:type="dxa"/>
          </w:tcPr>
          <w:p w14:paraId="157587B8" w14:textId="142CF8E7" w:rsidR="0097352D" w:rsidRPr="00AA5D8E" w:rsidRDefault="003F3879"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r w:rsidR="005F61E7" w:rsidRPr="00AA5D8E">
              <w:rPr>
                <w:rStyle w:val="FootnoteReference"/>
                <w:color w:val="auto"/>
                <w:szCs w:val="16"/>
                <w:lang w:val="en-GB"/>
              </w:rPr>
              <w:footnoteReference w:id="5"/>
            </w:r>
          </w:p>
        </w:tc>
      </w:tr>
      <w:tr w:rsidR="0097352D" w:rsidRPr="00AA5D8E"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AA5D8E" w:rsidRDefault="0097352D" w:rsidP="00427661">
            <w:pPr>
              <w:pStyle w:val="ListNumber"/>
              <w:tabs>
                <w:tab w:val="clear" w:pos="284"/>
              </w:tabs>
              <w:ind w:left="340" w:hanging="340"/>
              <w:jc w:val="left"/>
              <w:rPr>
                <w:b w:val="0"/>
                <w:color w:val="auto"/>
                <w:sz w:val="16"/>
                <w:szCs w:val="16"/>
                <w:lang w:val="en-GB"/>
              </w:rPr>
            </w:pPr>
            <w:r w:rsidRPr="00AA5D8E">
              <w:rPr>
                <w:b w:val="0"/>
                <w:color w:val="auto"/>
                <w:sz w:val="16"/>
                <w:szCs w:val="16"/>
                <w:lang w:val="en-GB"/>
              </w:rPr>
              <w:t>Is any other tax levied upon a distribution of a dividend by a company in your MS?</w:t>
            </w:r>
          </w:p>
        </w:tc>
        <w:tc>
          <w:tcPr>
            <w:tcW w:w="3933" w:type="dxa"/>
          </w:tcPr>
          <w:p w14:paraId="7AFE9B46" w14:textId="6662C2F4" w:rsidR="0097352D" w:rsidRPr="00AA5D8E" w:rsidRDefault="00DF588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97352D" w:rsidRPr="00AA5D8E"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AA5D8E" w:rsidRDefault="0097352D" w:rsidP="00427661">
            <w:pPr>
              <w:pStyle w:val="ListNumber"/>
              <w:tabs>
                <w:tab w:val="clear" w:pos="284"/>
              </w:tabs>
              <w:ind w:left="340" w:hanging="340"/>
              <w:jc w:val="left"/>
              <w:rPr>
                <w:b w:val="0"/>
                <w:color w:val="auto"/>
                <w:sz w:val="16"/>
                <w:szCs w:val="16"/>
                <w:lang w:val="en-GB"/>
              </w:rPr>
            </w:pPr>
            <w:r w:rsidRPr="00AA5D8E">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AA5D8E">
              <w:rPr>
                <w:b w:val="0"/>
                <w:color w:val="auto"/>
                <w:sz w:val="16"/>
                <w:szCs w:val="16"/>
                <w:lang w:val="en-GB"/>
              </w:rPr>
              <w:t xml:space="preserve"> Please refer to question 4 and 5 above.</w:t>
            </w:r>
          </w:p>
        </w:tc>
        <w:tc>
          <w:tcPr>
            <w:tcW w:w="3933" w:type="dxa"/>
          </w:tcPr>
          <w:p w14:paraId="2AEC23F9" w14:textId="229B0545" w:rsidR="0097352D" w:rsidRPr="00AA5D8E" w:rsidRDefault="00DF588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r w:rsidR="00CD44D3" w:rsidRPr="00AA5D8E">
              <w:rPr>
                <w:color w:val="auto"/>
                <w:sz w:val="16"/>
                <w:szCs w:val="16"/>
                <w:lang w:val="en-GB"/>
              </w:rPr>
              <w:t>. See art. 94 para 2 of CIRC.</w:t>
            </w:r>
          </w:p>
        </w:tc>
      </w:tr>
      <w:tr w:rsidR="0097352D" w:rsidRPr="00AA5D8E"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AA5D8E" w:rsidRDefault="0097352D" w:rsidP="00427661">
            <w:pPr>
              <w:rPr>
                <w:lang w:val="en-GB"/>
              </w:rPr>
            </w:pPr>
            <w:r w:rsidRPr="00AA5D8E">
              <w:rPr>
                <w:i/>
                <w:sz w:val="16"/>
                <w:szCs w:val="16"/>
                <w:lang w:val="en-GB"/>
              </w:rPr>
              <w:t>Interest income</w:t>
            </w:r>
          </w:p>
        </w:tc>
      </w:tr>
      <w:tr w:rsidR="0097352D" w:rsidRPr="00AA5D8E"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AA5D8E" w:rsidRDefault="0097352D" w:rsidP="0097352D">
            <w:pPr>
              <w:pStyle w:val="ListNumber"/>
              <w:tabs>
                <w:tab w:val="clear" w:pos="284"/>
              </w:tabs>
              <w:ind w:left="340" w:hanging="340"/>
              <w:jc w:val="left"/>
              <w:rPr>
                <w:b w:val="0"/>
                <w:color w:val="auto"/>
                <w:sz w:val="16"/>
                <w:szCs w:val="16"/>
                <w:lang w:val="en-GB"/>
              </w:rPr>
            </w:pPr>
            <w:r w:rsidRPr="00AA5D8E">
              <w:rPr>
                <w:b w:val="0"/>
                <w:color w:val="auto"/>
                <w:sz w:val="16"/>
                <w:szCs w:val="16"/>
                <w:lang w:val="en-GB"/>
              </w:rPr>
              <w:t>Is interest income from a loan granted by a company in your MS to a foreign group member company taxable?</w:t>
            </w:r>
          </w:p>
        </w:tc>
        <w:tc>
          <w:tcPr>
            <w:tcW w:w="3933" w:type="dxa"/>
          </w:tcPr>
          <w:p w14:paraId="67B8DD77" w14:textId="39FDB5A8" w:rsidR="0097352D" w:rsidRPr="00AA5D8E" w:rsidRDefault="003C21E1"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 See art. 94 para 1, c) of CIRC.</w:t>
            </w:r>
          </w:p>
        </w:tc>
      </w:tr>
      <w:tr w:rsidR="0097352D" w:rsidRPr="00AA5D8E"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AA5D8E" w:rsidRDefault="0097352D" w:rsidP="0097352D">
            <w:pPr>
              <w:pStyle w:val="ListNumber"/>
              <w:tabs>
                <w:tab w:val="clear" w:pos="284"/>
              </w:tabs>
              <w:ind w:left="340" w:hanging="340"/>
              <w:jc w:val="left"/>
              <w:rPr>
                <w:b w:val="0"/>
                <w:color w:val="auto"/>
                <w:sz w:val="16"/>
                <w:szCs w:val="16"/>
                <w:lang w:val="en-GB"/>
              </w:rPr>
            </w:pPr>
            <w:r w:rsidRPr="00AA5D8E">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2FF37B98" w:rsidR="0097352D" w:rsidRPr="00AA5D8E" w:rsidRDefault="00E25DE9"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r w:rsidR="007F76A1" w:rsidRPr="00AA5D8E">
              <w:rPr>
                <w:color w:val="auto"/>
                <w:sz w:val="16"/>
                <w:szCs w:val="16"/>
                <w:lang w:val="en-GB"/>
              </w:rPr>
              <w:t xml:space="preserve"> See art. 63 of the CIRC.</w:t>
            </w:r>
          </w:p>
        </w:tc>
      </w:tr>
      <w:tr w:rsidR="0097352D" w:rsidRPr="00AA5D8E"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AA5D8E" w:rsidRDefault="0097352D" w:rsidP="0097352D">
            <w:pPr>
              <w:pStyle w:val="ListNumber"/>
              <w:tabs>
                <w:tab w:val="clear" w:pos="284"/>
              </w:tabs>
              <w:ind w:left="340" w:hanging="340"/>
              <w:jc w:val="left"/>
              <w:rPr>
                <w:b w:val="0"/>
                <w:color w:val="auto"/>
                <w:sz w:val="16"/>
                <w:szCs w:val="16"/>
                <w:lang w:val="en-GB"/>
              </w:rPr>
            </w:pPr>
            <w:r w:rsidRPr="00AA5D8E">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AA5D8E">
              <w:rPr>
                <w:b w:val="0"/>
                <w:color w:val="auto"/>
                <w:sz w:val="16"/>
                <w:szCs w:val="16"/>
                <w:lang w:val="en-GB"/>
              </w:rPr>
              <w:t xml:space="preserve"> (regardless of the </w:t>
            </w:r>
            <w:r w:rsidR="00B722C7" w:rsidRPr="00AA5D8E">
              <w:rPr>
                <w:b w:val="0"/>
                <w:color w:val="auto"/>
                <w:sz w:val="16"/>
                <w:szCs w:val="16"/>
                <w:lang w:val="en-GB"/>
              </w:rPr>
              <w:t>non-MS assumption in the description of the Model).</w:t>
            </w:r>
          </w:p>
        </w:tc>
        <w:tc>
          <w:tcPr>
            <w:tcW w:w="3933" w:type="dxa"/>
          </w:tcPr>
          <w:p w14:paraId="01F51E47" w14:textId="1FE5512F" w:rsidR="0097352D" w:rsidRPr="00AA5D8E" w:rsidRDefault="000B2FFE" w:rsidP="000B2FF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 In order to grant tax exemption to dividend income</w:t>
            </w:r>
            <w:r w:rsidR="002C294A" w:rsidRPr="00AA5D8E">
              <w:rPr>
                <w:color w:val="auto"/>
                <w:sz w:val="16"/>
                <w:szCs w:val="16"/>
                <w:lang w:val="en-GB"/>
              </w:rPr>
              <w:t xml:space="preserve"> (or equivalent </w:t>
            </w:r>
            <w:r w:rsidR="00213732" w:rsidRPr="00AA5D8E">
              <w:rPr>
                <w:color w:val="auto"/>
                <w:sz w:val="16"/>
                <w:szCs w:val="16"/>
                <w:lang w:val="en-GB"/>
              </w:rPr>
              <w:t>income payments related with co</w:t>
            </w:r>
            <w:r w:rsidR="00317C06" w:rsidRPr="00AA5D8E">
              <w:rPr>
                <w:color w:val="auto"/>
                <w:sz w:val="16"/>
                <w:szCs w:val="16"/>
                <w:lang w:val="en-GB"/>
              </w:rPr>
              <w:t>r</w:t>
            </w:r>
            <w:r w:rsidR="00213732" w:rsidRPr="00AA5D8E">
              <w:rPr>
                <w:color w:val="auto"/>
                <w:sz w:val="16"/>
                <w:szCs w:val="16"/>
                <w:lang w:val="en-GB"/>
              </w:rPr>
              <w:t>porate’s profits or distribution of reserves)</w:t>
            </w:r>
            <w:r w:rsidRPr="00AA5D8E">
              <w:rPr>
                <w:color w:val="auto"/>
                <w:sz w:val="16"/>
                <w:szCs w:val="16"/>
                <w:lang w:val="en-GB"/>
              </w:rPr>
              <w:t>, the CIRC states that that income must be subject to tax in the recipient state (see paragraph 6, b) above)</w:t>
            </w:r>
            <w:r w:rsidR="00C75A23" w:rsidRPr="00AA5D8E">
              <w:rPr>
                <w:rStyle w:val="FootnoteReference"/>
                <w:color w:val="auto"/>
                <w:szCs w:val="16"/>
                <w:lang w:val="en-GB"/>
              </w:rPr>
              <w:footnoteReference w:id="6"/>
            </w:r>
            <w:r w:rsidRPr="00AA5D8E">
              <w:rPr>
                <w:color w:val="auto"/>
                <w:sz w:val="16"/>
                <w:szCs w:val="16"/>
                <w:lang w:val="en-GB"/>
              </w:rPr>
              <w:t>.</w:t>
            </w:r>
          </w:p>
        </w:tc>
      </w:tr>
      <w:tr w:rsidR="0097352D" w:rsidRPr="00AA5D8E"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AA5D8E" w:rsidRDefault="0097352D" w:rsidP="003A6F57">
            <w:pPr>
              <w:pStyle w:val="ListNumber"/>
              <w:tabs>
                <w:tab w:val="clear" w:pos="284"/>
              </w:tabs>
              <w:ind w:left="340" w:hanging="340"/>
              <w:jc w:val="left"/>
              <w:rPr>
                <w:b w:val="0"/>
                <w:color w:val="auto"/>
                <w:sz w:val="16"/>
                <w:szCs w:val="16"/>
                <w:lang w:val="en-GB"/>
              </w:rPr>
            </w:pPr>
            <w:r w:rsidRPr="00AA5D8E">
              <w:rPr>
                <w:b w:val="0"/>
                <w:color w:val="auto"/>
                <w:sz w:val="16"/>
                <w:szCs w:val="16"/>
                <w:lang w:val="en-GB"/>
              </w:rPr>
              <w:t>If yes to 1</w:t>
            </w:r>
            <w:r w:rsidR="003A6F57" w:rsidRPr="00AA5D8E">
              <w:rPr>
                <w:b w:val="0"/>
                <w:color w:val="auto"/>
                <w:sz w:val="16"/>
                <w:szCs w:val="16"/>
                <w:lang w:val="en-GB"/>
              </w:rPr>
              <w:t>1</w:t>
            </w:r>
            <w:r w:rsidRPr="00AA5D8E">
              <w:rPr>
                <w:b w:val="0"/>
                <w:color w:val="auto"/>
                <w:sz w:val="16"/>
                <w:szCs w:val="16"/>
                <w:lang w:val="en-GB"/>
              </w:rPr>
              <w:t>,</w:t>
            </w:r>
          </w:p>
        </w:tc>
        <w:tc>
          <w:tcPr>
            <w:tcW w:w="3933" w:type="dxa"/>
          </w:tcPr>
          <w:p w14:paraId="7A20A922" w14:textId="77777777" w:rsidR="0097352D" w:rsidRPr="00AA5D8E"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AA5D8E"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AA5D8E" w:rsidRDefault="0097352D" w:rsidP="000243B6">
            <w:pPr>
              <w:pStyle w:val="ListNumber"/>
              <w:numPr>
                <w:ilvl w:val="0"/>
                <w:numId w:val="23"/>
              </w:numPr>
              <w:ind w:left="680"/>
              <w:jc w:val="left"/>
              <w:rPr>
                <w:b w:val="0"/>
                <w:color w:val="auto"/>
                <w:sz w:val="16"/>
                <w:szCs w:val="16"/>
                <w:lang w:val="en-GB"/>
              </w:rPr>
            </w:pPr>
            <w:r w:rsidRPr="00AA5D8E">
              <w:rPr>
                <w:b w:val="0"/>
                <w:color w:val="auto"/>
                <w:sz w:val="16"/>
                <w:szCs w:val="16"/>
                <w:lang w:val="en-GB"/>
              </w:rPr>
              <w:t>Please briefly explain which requirements should be fulfilled.</w:t>
            </w:r>
          </w:p>
        </w:tc>
        <w:tc>
          <w:tcPr>
            <w:tcW w:w="3933" w:type="dxa"/>
          </w:tcPr>
          <w:p w14:paraId="1589E2E5" w14:textId="43ACA4A5" w:rsidR="0097352D" w:rsidRPr="00AA5D8E" w:rsidRDefault="00F05D23"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See paragraph 6, b) above.</w:t>
            </w:r>
          </w:p>
        </w:tc>
      </w:tr>
      <w:tr w:rsidR="0097352D" w:rsidRPr="00AA5D8E"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AA5D8E" w:rsidRDefault="0097352D" w:rsidP="000243B6">
            <w:pPr>
              <w:pStyle w:val="ListNumber"/>
              <w:numPr>
                <w:ilvl w:val="0"/>
                <w:numId w:val="23"/>
              </w:numPr>
              <w:ind w:left="680"/>
              <w:jc w:val="left"/>
              <w:rPr>
                <w:b w:val="0"/>
                <w:color w:val="auto"/>
                <w:sz w:val="16"/>
                <w:szCs w:val="16"/>
                <w:lang w:val="en-GB"/>
              </w:rPr>
            </w:pPr>
            <w:r w:rsidRPr="00AA5D8E">
              <w:rPr>
                <w:b w:val="0"/>
                <w:color w:val="auto"/>
                <w:sz w:val="16"/>
                <w:szCs w:val="16"/>
                <w:lang w:val="en-GB"/>
              </w:rPr>
              <w:t xml:space="preserve">How will the amendment of Article 4 of the EU Parent/Subsidiary Directive affect your answer? </w:t>
            </w:r>
          </w:p>
        </w:tc>
        <w:tc>
          <w:tcPr>
            <w:tcW w:w="3933" w:type="dxa"/>
          </w:tcPr>
          <w:p w14:paraId="73D40562" w14:textId="2C24AE61" w:rsidR="0097352D" w:rsidRPr="00AA5D8E" w:rsidRDefault="00955697"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 amendment will not affect the answer.</w:t>
            </w:r>
          </w:p>
        </w:tc>
      </w:tr>
      <w:tr w:rsidR="009E71C6" w:rsidRPr="00AA5D8E"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AA5D8E" w:rsidRDefault="009E71C6" w:rsidP="00427661">
            <w:pPr>
              <w:rPr>
                <w:lang w:val="en-GB"/>
              </w:rPr>
            </w:pPr>
            <w:r w:rsidRPr="00AA5D8E">
              <w:rPr>
                <w:i/>
                <w:sz w:val="16"/>
                <w:szCs w:val="16"/>
                <w:lang w:val="en-GB"/>
              </w:rPr>
              <w:t>Interest costs</w:t>
            </w:r>
          </w:p>
        </w:tc>
      </w:tr>
      <w:tr w:rsidR="009E71C6" w:rsidRPr="00AA5D8E"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AA5D8E" w:rsidRDefault="009E71C6" w:rsidP="00C62116">
            <w:pPr>
              <w:pStyle w:val="ListNumber"/>
              <w:tabs>
                <w:tab w:val="clear" w:pos="284"/>
              </w:tabs>
              <w:ind w:left="340" w:hanging="340"/>
              <w:jc w:val="left"/>
              <w:rPr>
                <w:b w:val="0"/>
                <w:color w:val="auto"/>
                <w:sz w:val="16"/>
                <w:szCs w:val="16"/>
                <w:lang w:val="en-GB"/>
              </w:rPr>
            </w:pPr>
            <w:r w:rsidRPr="00AA5D8E">
              <w:rPr>
                <w:b w:val="0"/>
                <w:color w:val="auto"/>
                <w:sz w:val="16"/>
                <w:szCs w:val="16"/>
                <w:lang w:val="en-GB"/>
              </w:rPr>
              <w:t xml:space="preserve">Are inter-group interest payments on </w:t>
            </w:r>
            <w:r w:rsidR="00C62116" w:rsidRPr="00AA5D8E">
              <w:rPr>
                <w:b w:val="0"/>
                <w:color w:val="auto"/>
                <w:sz w:val="16"/>
                <w:szCs w:val="16"/>
                <w:lang w:val="en-GB"/>
              </w:rPr>
              <w:t>a</w:t>
            </w:r>
            <w:r w:rsidRPr="00AA5D8E">
              <w:rPr>
                <w:b w:val="0"/>
                <w:color w:val="auto"/>
                <w:sz w:val="16"/>
                <w:szCs w:val="16"/>
                <w:lang w:val="en-GB"/>
              </w:rPr>
              <w:t xml:space="preserve"> loan granted by a foreign group member company tax deductible to a resident in your MS?</w:t>
            </w:r>
          </w:p>
        </w:tc>
        <w:tc>
          <w:tcPr>
            <w:tcW w:w="3933" w:type="dxa"/>
          </w:tcPr>
          <w:p w14:paraId="114761BC" w14:textId="61F1F5A7" w:rsidR="00C75A23" w:rsidRPr="00AA5D8E" w:rsidRDefault="00F12FEB" w:rsidP="00C75A2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r w:rsidR="00D57097" w:rsidRPr="00AA5D8E">
              <w:rPr>
                <w:color w:val="auto"/>
                <w:sz w:val="16"/>
                <w:szCs w:val="16"/>
                <w:lang w:val="en-GB"/>
              </w:rPr>
              <w:t xml:space="preserve"> but subject to </w:t>
            </w:r>
            <w:r w:rsidR="00C75A23" w:rsidRPr="00AA5D8E">
              <w:rPr>
                <w:color w:val="auto"/>
                <w:sz w:val="16"/>
                <w:szCs w:val="16"/>
                <w:lang w:val="en-GB"/>
              </w:rPr>
              <w:t>the rules on limitation to the deductibility of financing expenses</w:t>
            </w:r>
            <w:r w:rsidR="00C75A23" w:rsidRPr="00AA5D8E" w:rsidDel="00212B28">
              <w:rPr>
                <w:color w:val="auto"/>
                <w:sz w:val="16"/>
                <w:szCs w:val="16"/>
                <w:lang w:val="en-GB"/>
              </w:rPr>
              <w:t xml:space="preserve"> </w:t>
            </w:r>
            <w:r w:rsidR="00D57097" w:rsidRPr="00AA5D8E">
              <w:rPr>
                <w:color w:val="auto"/>
                <w:sz w:val="16"/>
                <w:szCs w:val="16"/>
                <w:lang w:val="en-GB"/>
              </w:rPr>
              <w:t>under art. 67 of the CIRC, applicable to both resident and non-resident companies</w:t>
            </w:r>
            <w:r w:rsidR="00C75A23" w:rsidRPr="00AA5D8E">
              <w:rPr>
                <w:color w:val="auto"/>
                <w:sz w:val="16"/>
                <w:szCs w:val="16"/>
                <w:lang w:val="en-GB"/>
              </w:rPr>
              <w:t>. This tax deductibility rule stipulate that net financing expenses are only deductible up to the higher of the following limits:</w:t>
            </w:r>
          </w:p>
          <w:p w14:paraId="7A7D1188" w14:textId="77777777" w:rsidR="00C75A23" w:rsidRPr="00AA5D8E" w:rsidRDefault="00C75A23" w:rsidP="00C75A23">
            <w:pPr>
              <w:numPr>
                <w:ilvl w:val="2"/>
                <w:numId w:val="31"/>
              </w:numPr>
              <w:ind w:left="36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€ 1,000,000; or</w:t>
            </w:r>
          </w:p>
          <w:p w14:paraId="31330A20" w14:textId="2B167D01" w:rsidR="009E71C6" w:rsidRPr="00AA5D8E" w:rsidRDefault="00C75A23" w:rsidP="00C75A2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30% of earnings before depreciations, net financing expenses and taxes (EBITDA).</w:t>
            </w:r>
          </w:p>
        </w:tc>
      </w:tr>
      <w:tr w:rsidR="009E71C6" w:rsidRPr="00AA5D8E"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AA5D8E" w:rsidRDefault="009E71C6" w:rsidP="003A6F57">
            <w:pPr>
              <w:pStyle w:val="ListNumber"/>
              <w:tabs>
                <w:tab w:val="clear" w:pos="284"/>
              </w:tabs>
              <w:ind w:left="340" w:hanging="340"/>
              <w:jc w:val="left"/>
              <w:rPr>
                <w:b w:val="0"/>
                <w:color w:val="auto"/>
                <w:sz w:val="16"/>
                <w:szCs w:val="16"/>
                <w:lang w:val="en-GB"/>
              </w:rPr>
            </w:pPr>
            <w:r w:rsidRPr="00AA5D8E">
              <w:rPr>
                <w:b w:val="0"/>
                <w:color w:val="auto"/>
                <w:sz w:val="16"/>
                <w:szCs w:val="16"/>
                <w:lang w:val="en-GB"/>
              </w:rPr>
              <w:t>If yes to 1</w:t>
            </w:r>
            <w:r w:rsidR="003A6F57" w:rsidRPr="00AA5D8E">
              <w:rPr>
                <w:b w:val="0"/>
                <w:color w:val="auto"/>
                <w:sz w:val="16"/>
                <w:szCs w:val="16"/>
                <w:lang w:val="en-GB"/>
              </w:rPr>
              <w:t>3</w:t>
            </w:r>
            <w:r w:rsidRPr="00AA5D8E">
              <w:rPr>
                <w:b w:val="0"/>
                <w:color w:val="auto"/>
                <w:sz w:val="16"/>
                <w:szCs w:val="16"/>
                <w:lang w:val="en-GB"/>
              </w:rPr>
              <w:t>,</w:t>
            </w:r>
          </w:p>
        </w:tc>
        <w:tc>
          <w:tcPr>
            <w:tcW w:w="3933" w:type="dxa"/>
          </w:tcPr>
          <w:p w14:paraId="2BD57FAE" w14:textId="77777777" w:rsidR="009E71C6" w:rsidRPr="00AA5D8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AA5D8E"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AA5D8E" w:rsidRDefault="009E71C6" w:rsidP="000243B6">
            <w:pPr>
              <w:pStyle w:val="ListNumber"/>
              <w:numPr>
                <w:ilvl w:val="0"/>
                <w:numId w:val="25"/>
              </w:numPr>
              <w:ind w:left="709"/>
              <w:jc w:val="left"/>
              <w:rPr>
                <w:b w:val="0"/>
                <w:color w:val="auto"/>
                <w:sz w:val="16"/>
                <w:szCs w:val="16"/>
                <w:lang w:val="en-GB"/>
              </w:rPr>
            </w:pPr>
            <w:r w:rsidRPr="00AA5D8E">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4253DBB5" w:rsidR="009E71C6" w:rsidRPr="00AA5D8E" w:rsidRDefault="00E334D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r w:rsidR="00C75A23" w:rsidRPr="00AA5D8E">
              <w:rPr>
                <w:rStyle w:val="FootnoteReference"/>
                <w:color w:val="auto"/>
                <w:szCs w:val="16"/>
                <w:lang w:val="en-GB"/>
              </w:rPr>
              <w:footnoteReference w:id="7"/>
            </w:r>
            <w:r w:rsidRPr="00AA5D8E">
              <w:rPr>
                <w:color w:val="auto"/>
                <w:sz w:val="16"/>
                <w:szCs w:val="16"/>
                <w:lang w:val="en-GB"/>
              </w:rPr>
              <w:t>.</w:t>
            </w:r>
          </w:p>
        </w:tc>
      </w:tr>
      <w:tr w:rsidR="009E71C6" w:rsidRPr="00AA5D8E"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AA5D8E" w:rsidRDefault="009E71C6" w:rsidP="000243B6">
            <w:pPr>
              <w:pStyle w:val="ListNumber"/>
              <w:numPr>
                <w:ilvl w:val="0"/>
                <w:numId w:val="25"/>
              </w:numPr>
              <w:ind w:left="709"/>
              <w:jc w:val="left"/>
              <w:rPr>
                <w:b w:val="0"/>
                <w:color w:val="auto"/>
                <w:sz w:val="16"/>
                <w:szCs w:val="16"/>
                <w:lang w:val="en-GB"/>
              </w:rPr>
            </w:pPr>
            <w:r w:rsidRPr="00AA5D8E">
              <w:rPr>
                <w:b w:val="0"/>
                <w:color w:val="auto"/>
                <w:sz w:val="16"/>
                <w:szCs w:val="16"/>
                <w:lang w:val="en-GB"/>
              </w:rPr>
              <w:lastRenderedPageBreak/>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005547D7" w:rsidR="009E71C6" w:rsidRPr="00AA5D8E" w:rsidRDefault="00A7096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 There is no specific anti-avoidance rule to cover this situation.</w:t>
            </w:r>
          </w:p>
        </w:tc>
      </w:tr>
      <w:tr w:rsidR="009E71C6" w:rsidRPr="00AA5D8E"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AA5D8E" w:rsidRDefault="009E71C6" w:rsidP="009E71C6">
            <w:pPr>
              <w:pStyle w:val="ListNumber"/>
              <w:tabs>
                <w:tab w:val="clear" w:pos="284"/>
              </w:tabs>
              <w:ind w:left="340" w:hanging="340"/>
              <w:jc w:val="left"/>
              <w:rPr>
                <w:b w:val="0"/>
                <w:color w:val="auto"/>
                <w:sz w:val="16"/>
                <w:szCs w:val="16"/>
                <w:lang w:val="en-GB"/>
              </w:rPr>
            </w:pPr>
            <w:r w:rsidRPr="00AA5D8E">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4E25AA85" w:rsidR="009E71C6"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p>
        </w:tc>
      </w:tr>
      <w:tr w:rsidR="009E71C6" w:rsidRPr="00AA5D8E"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AA5D8E" w:rsidRDefault="009E71C6" w:rsidP="003A6F57">
            <w:pPr>
              <w:pStyle w:val="ListNumber"/>
              <w:tabs>
                <w:tab w:val="clear" w:pos="284"/>
              </w:tabs>
              <w:ind w:left="340" w:hanging="340"/>
              <w:jc w:val="left"/>
              <w:rPr>
                <w:b w:val="0"/>
                <w:color w:val="auto"/>
                <w:sz w:val="16"/>
                <w:szCs w:val="16"/>
                <w:lang w:val="en-GB"/>
              </w:rPr>
            </w:pPr>
            <w:r w:rsidRPr="00AA5D8E">
              <w:rPr>
                <w:b w:val="0"/>
                <w:color w:val="auto"/>
                <w:sz w:val="16"/>
                <w:szCs w:val="16"/>
                <w:lang w:val="en-GB"/>
              </w:rPr>
              <w:t>If yes to 1</w:t>
            </w:r>
            <w:r w:rsidR="003A6F57" w:rsidRPr="00AA5D8E">
              <w:rPr>
                <w:b w:val="0"/>
                <w:color w:val="auto"/>
                <w:sz w:val="16"/>
                <w:szCs w:val="16"/>
                <w:lang w:val="en-GB"/>
              </w:rPr>
              <w:t>5</w:t>
            </w:r>
          </w:p>
        </w:tc>
        <w:tc>
          <w:tcPr>
            <w:tcW w:w="3933" w:type="dxa"/>
          </w:tcPr>
          <w:p w14:paraId="1273C585" w14:textId="77777777" w:rsidR="009E71C6" w:rsidRPr="00AA5D8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AA5D8E"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AA5D8E" w:rsidRDefault="009E71C6" w:rsidP="000243B6">
            <w:pPr>
              <w:pStyle w:val="ListNumber"/>
              <w:numPr>
                <w:ilvl w:val="0"/>
                <w:numId w:val="26"/>
              </w:numPr>
              <w:ind w:left="709"/>
              <w:jc w:val="left"/>
              <w:rPr>
                <w:b w:val="0"/>
                <w:color w:val="auto"/>
                <w:sz w:val="16"/>
                <w:szCs w:val="16"/>
                <w:lang w:val="en-GB"/>
              </w:rPr>
            </w:pPr>
            <w:r w:rsidRPr="00AA5D8E">
              <w:rPr>
                <w:b w:val="0"/>
                <w:color w:val="auto"/>
                <w:sz w:val="16"/>
                <w:szCs w:val="16"/>
                <w:lang w:val="en-GB"/>
              </w:rPr>
              <w:t>Please briefly explain the general scope and mechanism of the rules.</w:t>
            </w:r>
          </w:p>
        </w:tc>
        <w:tc>
          <w:tcPr>
            <w:tcW w:w="3933" w:type="dxa"/>
          </w:tcPr>
          <w:p w14:paraId="60B3D3C5" w14:textId="0ACE9D93"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According to a general limitation rule</w:t>
            </w:r>
            <w:r w:rsidR="004850D5" w:rsidRPr="00AA5D8E">
              <w:rPr>
                <w:color w:val="auto"/>
                <w:sz w:val="16"/>
                <w:szCs w:val="16"/>
                <w:lang w:val="en-GB"/>
              </w:rPr>
              <w:t xml:space="preserve"> (art. 67 CIRC)</w:t>
            </w:r>
            <w:r w:rsidRPr="00AA5D8E">
              <w:rPr>
                <w:color w:val="auto"/>
                <w:sz w:val="16"/>
                <w:szCs w:val="16"/>
                <w:lang w:val="en-GB"/>
              </w:rPr>
              <w:t xml:space="preserve"> net financing expenses are only deductible up to the higher of the following limits</w:t>
            </w:r>
          </w:p>
          <w:p w14:paraId="38FF19EE" w14:textId="4E4BC38B" w:rsidR="00F12FEB" w:rsidRPr="00AA5D8E" w:rsidRDefault="004850D5" w:rsidP="00F12FEB">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EUR 1</w:t>
            </w:r>
            <w:r w:rsidR="00F12FEB" w:rsidRPr="00AA5D8E">
              <w:rPr>
                <w:color w:val="auto"/>
                <w:sz w:val="16"/>
                <w:szCs w:val="16"/>
                <w:lang w:val="en-GB"/>
              </w:rPr>
              <w:t xml:space="preserve"> million or</w:t>
            </w:r>
          </w:p>
          <w:p w14:paraId="62DCFB12" w14:textId="2D927FFA" w:rsidR="00F12FEB" w:rsidRPr="00AA5D8E" w:rsidRDefault="00F12FEB" w:rsidP="00F12FEB">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30% of the earnings before depreciation, net financing expenses and taxes (EBITDA).</w:t>
            </w:r>
          </w:p>
          <w:p w14:paraId="5298BE39"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8C684FF"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During a transitional period, the percentage is 50% in 2015 and 40% in 2016.</w:t>
            </w:r>
          </w:p>
          <w:p w14:paraId="02E900E2"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FD39433" w14:textId="0A9807CF"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 distinction is made between bank and intra-group financing transaction</w:t>
            </w:r>
            <w:r w:rsidR="00D53FFA" w:rsidRPr="00AA5D8E">
              <w:rPr>
                <w:color w:val="auto"/>
                <w:sz w:val="16"/>
                <w:szCs w:val="16"/>
                <w:lang w:val="en-GB"/>
              </w:rPr>
              <w:t>s</w:t>
            </w:r>
            <w:r w:rsidRPr="00AA5D8E">
              <w:rPr>
                <w:color w:val="auto"/>
                <w:sz w:val="16"/>
                <w:szCs w:val="16"/>
                <w:lang w:val="en-GB"/>
              </w:rPr>
              <w:t xml:space="preserve"> and domestic or foreign financing transactions (EU or non-EU).</w:t>
            </w:r>
          </w:p>
          <w:p w14:paraId="04BFB47E" w14:textId="77777777" w:rsidR="007B483C" w:rsidRPr="00AA5D8E" w:rsidRDefault="007B483C"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97BF6A0" w14:textId="36083CB2" w:rsidR="007B483C" w:rsidRPr="00AA5D8E" w:rsidRDefault="00B66CDC"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When</w:t>
            </w:r>
            <w:r w:rsidR="007B483C" w:rsidRPr="00AA5D8E">
              <w:rPr>
                <w:color w:val="auto"/>
                <w:sz w:val="16"/>
                <w:szCs w:val="16"/>
                <w:lang w:val="en-GB"/>
              </w:rPr>
              <w:t xml:space="preserve"> the special tax regime of a group of companies applies, the calculation of the deductible limits must be performed individually, for each company of the group</w:t>
            </w:r>
            <w:r w:rsidR="00C75A23" w:rsidRPr="00AA5D8E">
              <w:rPr>
                <w:rStyle w:val="FootnoteReference"/>
                <w:color w:val="auto"/>
                <w:szCs w:val="16"/>
                <w:lang w:val="en-GB"/>
              </w:rPr>
              <w:footnoteReference w:id="8"/>
            </w:r>
            <w:r w:rsidR="007B483C" w:rsidRPr="00AA5D8E">
              <w:rPr>
                <w:color w:val="auto"/>
                <w:sz w:val="16"/>
                <w:szCs w:val="16"/>
                <w:lang w:val="en-GB"/>
              </w:rPr>
              <w:t xml:space="preserve">. </w:t>
            </w:r>
          </w:p>
          <w:p w14:paraId="3631B299" w14:textId="1FDEEFAF" w:rsidR="009E71C6" w:rsidRPr="00AA5D8E"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12FEB" w:rsidRPr="00AA5D8E"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F12FEB" w:rsidRPr="00AA5D8E" w:rsidRDefault="00F12FEB" w:rsidP="000243B6">
            <w:pPr>
              <w:pStyle w:val="ListNumber"/>
              <w:numPr>
                <w:ilvl w:val="0"/>
                <w:numId w:val="26"/>
              </w:numPr>
              <w:ind w:left="709"/>
              <w:jc w:val="left"/>
              <w:rPr>
                <w:b w:val="0"/>
                <w:color w:val="auto"/>
                <w:sz w:val="16"/>
                <w:szCs w:val="16"/>
                <w:lang w:val="en-GB"/>
              </w:rPr>
            </w:pPr>
            <w:r w:rsidRPr="00AA5D8E">
              <w:rPr>
                <w:b w:val="0"/>
                <w:color w:val="auto"/>
                <w:sz w:val="16"/>
                <w:szCs w:val="16"/>
                <w:lang w:val="en-GB"/>
              </w:rPr>
              <w:t xml:space="preserve">In particular, do the rules apply only to interest costs on inter-group debt or more generally to all interest costs?  </w:t>
            </w:r>
          </w:p>
        </w:tc>
        <w:tc>
          <w:tcPr>
            <w:tcW w:w="3933" w:type="dxa"/>
          </w:tcPr>
          <w:p w14:paraId="0CE273C8" w14:textId="350870DF"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Generally to all interest costs</w:t>
            </w:r>
            <w:r w:rsidR="0088680C" w:rsidRPr="00AA5D8E">
              <w:rPr>
                <w:color w:val="auto"/>
                <w:sz w:val="16"/>
                <w:szCs w:val="16"/>
                <w:lang w:val="en-GB"/>
              </w:rPr>
              <w:t xml:space="preserve"> (see art. 67 CIRC).</w:t>
            </w:r>
          </w:p>
        </w:tc>
      </w:tr>
      <w:tr w:rsidR="00F12FEB" w:rsidRPr="00AA5D8E"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F12FEB" w:rsidRPr="00AA5D8E" w:rsidRDefault="00F12FEB" w:rsidP="00387B75">
            <w:pPr>
              <w:pStyle w:val="ListNumber"/>
              <w:numPr>
                <w:ilvl w:val="0"/>
                <w:numId w:val="26"/>
              </w:numPr>
              <w:ind w:left="709"/>
              <w:jc w:val="left"/>
              <w:rPr>
                <w:b w:val="0"/>
                <w:color w:val="auto"/>
                <w:sz w:val="16"/>
                <w:szCs w:val="16"/>
                <w:lang w:val="en-GB"/>
              </w:rPr>
            </w:pPr>
            <w:r w:rsidRPr="00AA5D8E">
              <w:rPr>
                <w:b w:val="0"/>
                <w:color w:val="auto"/>
                <w:sz w:val="16"/>
                <w:szCs w:val="16"/>
                <w:lang w:val="en-GB"/>
              </w:rPr>
              <w:t>Do the rules take into account the worldwide debt ratio of the group of companies?</w:t>
            </w:r>
          </w:p>
        </w:tc>
        <w:tc>
          <w:tcPr>
            <w:tcW w:w="3933" w:type="dxa"/>
          </w:tcPr>
          <w:p w14:paraId="7EDA4911" w14:textId="36A79D43" w:rsidR="00F12FEB" w:rsidRPr="00AA5D8E" w:rsidRDefault="00BE5C3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No. </w:t>
            </w:r>
            <w:r w:rsidR="006E3BBB" w:rsidRPr="00AA5D8E">
              <w:rPr>
                <w:color w:val="auto"/>
                <w:sz w:val="16"/>
                <w:szCs w:val="16"/>
                <w:lang w:val="en-GB"/>
              </w:rPr>
              <w:t xml:space="preserve">Only the position of </w:t>
            </w:r>
            <w:r w:rsidRPr="00AA5D8E">
              <w:rPr>
                <w:color w:val="auto"/>
                <w:sz w:val="16"/>
                <w:szCs w:val="16"/>
                <w:lang w:val="en-GB"/>
              </w:rPr>
              <w:t>Portuguese group member c</w:t>
            </w:r>
            <w:r w:rsidR="006E3BBB" w:rsidRPr="00AA5D8E">
              <w:rPr>
                <w:color w:val="auto"/>
                <w:sz w:val="16"/>
                <w:szCs w:val="16"/>
                <w:lang w:val="en-GB"/>
              </w:rPr>
              <w:t xml:space="preserve">ompanies is taken into account, </w:t>
            </w:r>
            <w:r w:rsidRPr="00AA5D8E">
              <w:rPr>
                <w:color w:val="auto"/>
                <w:sz w:val="16"/>
                <w:szCs w:val="16"/>
                <w:lang w:val="en-GB"/>
              </w:rPr>
              <w:t>not that of any foreign group member companies</w:t>
            </w:r>
            <w:r w:rsidR="006E3BBB" w:rsidRPr="00AA5D8E">
              <w:rPr>
                <w:color w:val="auto"/>
                <w:sz w:val="16"/>
                <w:szCs w:val="16"/>
                <w:lang w:val="en-GB"/>
              </w:rPr>
              <w:t>, in accordance with the special tax regime of group taxation (see art</w:t>
            </w:r>
            <w:r w:rsidR="00162293" w:rsidRPr="00AA5D8E">
              <w:rPr>
                <w:color w:val="auto"/>
                <w:sz w:val="16"/>
                <w:szCs w:val="16"/>
                <w:lang w:val="en-GB"/>
              </w:rPr>
              <w:t>. 69 CIRC applicable to purely domestic groups and art. 6</w:t>
            </w:r>
            <w:r w:rsidR="002E775F" w:rsidRPr="00AA5D8E">
              <w:rPr>
                <w:color w:val="auto"/>
                <w:sz w:val="16"/>
                <w:szCs w:val="16"/>
                <w:lang w:val="en-GB"/>
              </w:rPr>
              <w:t>9-A CIRC applicable to</w:t>
            </w:r>
            <w:r w:rsidR="00076F19" w:rsidRPr="00AA5D8E">
              <w:rPr>
                <w:color w:val="auto"/>
                <w:sz w:val="16"/>
                <w:szCs w:val="16"/>
                <w:lang w:val="en-GB"/>
              </w:rPr>
              <w:t xml:space="preserve"> Portuguese</w:t>
            </w:r>
            <w:r w:rsidR="00162293" w:rsidRPr="00AA5D8E">
              <w:rPr>
                <w:color w:val="auto"/>
                <w:sz w:val="16"/>
                <w:szCs w:val="16"/>
                <w:lang w:val="en-GB"/>
              </w:rPr>
              <w:t xml:space="preserve"> member companies of a EU or EEA </w:t>
            </w:r>
            <w:r w:rsidR="00887CE0" w:rsidRPr="00AA5D8E">
              <w:rPr>
                <w:color w:val="auto"/>
                <w:sz w:val="16"/>
                <w:szCs w:val="16"/>
                <w:lang w:val="en-GB"/>
              </w:rPr>
              <w:t>groups).</w:t>
            </w:r>
          </w:p>
        </w:tc>
      </w:tr>
      <w:tr w:rsidR="00F12FEB" w:rsidRPr="00AA5D8E"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F12FEB" w:rsidRPr="00AA5D8E" w:rsidRDefault="00F12FEB" w:rsidP="000243B6">
            <w:pPr>
              <w:pStyle w:val="ListNumber"/>
              <w:numPr>
                <w:ilvl w:val="0"/>
                <w:numId w:val="26"/>
              </w:numPr>
              <w:ind w:left="709"/>
              <w:jc w:val="left"/>
              <w:rPr>
                <w:b w:val="0"/>
                <w:color w:val="auto"/>
                <w:sz w:val="16"/>
                <w:szCs w:val="16"/>
                <w:lang w:val="en-GB"/>
              </w:rPr>
            </w:pPr>
            <w:r w:rsidRPr="00AA5D8E">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6A7A3A51" w14:textId="77777777" w:rsidR="00F12FEB" w:rsidRPr="00AA5D8E" w:rsidRDefault="003848B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Both the limits imposed to interest deductibility under art. 67 CIRC and special conditions that apply to group company taxation under articles 69 and 69-A CIRC are effective tools to counteract ATP.</w:t>
            </w:r>
          </w:p>
          <w:p w14:paraId="06B7E07E" w14:textId="1D5AF1B4" w:rsidR="003848BC" w:rsidRPr="00AA5D8E" w:rsidRDefault="007B077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Moreover, when a EU or EEA group with member group companies resident in Portugal that qualify under the</w:t>
            </w:r>
            <w:r w:rsidR="0039128F" w:rsidRPr="00AA5D8E">
              <w:rPr>
                <w:color w:val="auto"/>
                <w:sz w:val="16"/>
                <w:szCs w:val="16"/>
                <w:lang w:val="en-GB"/>
              </w:rPr>
              <w:t xml:space="preserve"> Portuguese</w:t>
            </w:r>
            <w:r w:rsidRPr="00AA5D8E">
              <w:rPr>
                <w:color w:val="auto"/>
                <w:sz w:val="16"/>
                <w:szCs w:val="16"/>
                <w:lang w:val="en-GB"/>
              </w:rPr>
              <w:t xml:space="preserve"> group taxation regime, an exchange of informatio</w:t>
            </w:r>
            <w:r w:rsidR="004D540F" w:rsidRPr="00AA5D8E">
              <w:rPr>
                <w:color w:val="auto"/>
                <w:sz w:val="16"/>
                <w:szCs w:val="16"/>
                <w:lang w:val="en-GB"/>
              </w:rPr>
              <w:t>n regime must be in place in the</w:t>
            </w:r>
            <w:r w:rsidRPr="00AA5D8E">
              <w:rPr>
                <w:color w:val="auto"/>
                <w:sz w:val="16"/>
                <w:szCs w:val="16"/>
                <w:lang w:val="en-GB"/>
              </w:rPr>
              <w:t xml:space="preserve"> EU or EEA</w:t>
            </w:r>
            <w:r w:rsidR="004D540F" w:rsidRPr="00AA5D8E">
              <w:rPr>
                <w:color w:val="auto"/>
                <w:sz w:val="16"/>
                <w:szCs w:val="16"/>
                <w:lang w:val="en-GB"/>
              </w:rPr>
              <w:t xml:space="preserve"> group</w:t>
            </w:r>
            <w:r w:rsidRPr="00AA5D8E">
              <w:rPr>
                <w:color w:val="auto"/>
                <w:sz w:val="16"/>
                <w:szCs w:val="16"/>
                <w:lang w:val="en-GB"/>
              </w:rPr>
              <w:t xml:space="preserve"> </w:t>
            </w:r>
            <w:r w:rsidR="004D540F" w:rsidRPr="00AA5D8E">
              <w:rPr>
                <w:color w:val="auto"/>
                <w:sz w:val="16"/>
                <w:szCs w:val="16"/>
                <w:lang w:val="en-GB"/>
              </w:rPr>
              <w:t>state.</w:t>
            </w:r>
          </w:p>
        </w:tc>
      </w:tr>
      <w:tr w:rsidR="00F12FEB" w:rsidRPr="00AA5D8E"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6E1C1675" w:rsidR="00F12FEB" w:rsidRPr="00AA5D8E" w:rsidRDefault="00F12FEB" w:rsidP="009E71C6">
            <w:pPr>
              <w:pStyle w:val="ListNumber"/>
              <w:tabs>
                <w:tab w:val="clear" w:pos="284"/>
              </w:tabs>
              <w:ind w:left="340" w:hanging="340"/>
              <w:jc w:val="left"/>
              <w:rPr>
                <w:b w:val="0"/>
                <w:color w:val="auto"/>
                <w:sz w:val="16"/>
                <w:szCs w:val="16"/>
                <w:lang w:val="en-GB"/>
              </w:rPr>
            </w:pPr>
            <w:r w:rsidRPr="00AA5D8E">
              <w:rPr>
                <w:b w:val="0"/>
                <w:color w:val="auto"/>
                <w:sz w:val="16"/>
                <w:szCs w:val="16"/>
                <w:lang w:val="en-GB"/>
              </w:rPr>
              <w:lastRenderedPageBreak/>
              <w:t>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C is tax resident in your MS. Moreover, please explain whether any deemed deduction would be contingent on a corresponding adjustment in the foreign state.</w:t>
            </w:r>
          </w:p>
        </w:tc>
        <w:tc>
          <w:tcPr>
            <w:tcW w:w="3933" w:type="dxa"/>
          </w:tcPr>
          <w:p w14:paraId="5C37B0EF" w14:textId="6E27A56D" w:rsidR="00C828D2" w:rsidRPr="00AA5D8E" w:rsidRDefault="00842F6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Yes </w:t>
            </w:r>
            <w:r w:rsidR="00C828D2" w:rsidRPr="00AA5D8E">
              <w:rPr>
                <w:color w:val="auto"/>
                <w:sz w:val="16"/>
                <w:szCs w:val="16"/>
                <w:lang w:val="en-GB"/>
              </w:rPr>
              <w:t>under article 9 (</w:t>
            </w:r>
            <w:r w:rsidR="00D30598" w:rsidRPr="00AA5D8E">
              <w:rPr>
                <w:color w:val="auto"/>
                <w:sz w:val="16"/>
                <w:szCs w:val="16"/>
                <w:lang w:val="en-GB"/>
              </w:rPr>
              <w:t>associated ent</w:t>
            </w:r>
            <w:r w:rsidR="00C828D2" w:rsidRPr="00AA5D8E">
              <w:rPr>
                <w:color w:val="auto"/>
                <w:sz w:val="16"/>
                <w:szCs w:val="16"/>
                <w:lang w:val="en-GB"/>
              </w:rPr>
              <w:t>e</w:t>
            </w:r>
            <w:r w:rsidR="00D30598" w:rsidRPr="00AA5D8E">
              <w:rPr>
                <w:color w:val="auto"/>
                <w:sz w:val="16"/>
                <w:szCs w:val="16"/>
                <w:lang w:val="en-GB"/>
              </w:rPr>
              <w:t>r</w:t>
            </w:r>
            <w:r w:rsidR="00C828D2" w:rsidRPr="00AA5D8E">
              <w:rPr>
                <w:color w:val="auto"/>
                <w:sz w:val="16"/>
                <w:szCs w:val="16"/>
                <w:lang w:val="en-GB"/>
              </w:rPr>
              <w:t>prises) of the applicable double taxation treaty that includes expressly the corresponding adjustment clause.</w:t>
            </w:r>
          </w:p>
          <w:p w14:paraId="52F36A1E" w14:textId="547085D5" w:rsidR="00842F68" w:rsidRPr="00AA5D8E" w:rsidRDefault="00842F6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Any deemed deduction will be conti</w:t>
            </w:r>
            <w:r w:rsidR="00D30598" w:rsidRPr="00AA5D8E">
              <w:rPr>
                <w:color w:val="auto"/>
                <w:sz w:val="16"/>
                <w:szCs w:val="16"/>
                <w:lang w:val="en-GB"/>
              </w:rPr>
              <w:t>n</w:t>
            </w:r>
            <w:r w:rsidRPr="00AA5D8E">
              <w:rPr>
                <w:color w:val="auto"/>
                <w:sz w:val="16"/>
                <w:szCs w:val="16"/>
                <w:lang w:val="en-GB"/>
              </w:rPr>
              <w:t>gent on a corresponding adjustment in the foreign state</w:t>
            </w:r>
            <w:r w:rsidR="00C828D2" w:rsidRPr="00AA5D8E">
              <w:rPr>
                <w:color w:val="auto"/>
                <w:sz w:val="16"/>
                <w:szCs w:val="16"/>
                <w:lang w:val="en-GB"/>
              </w:rPr>
              <w:t>.</w:t>
            </w:r>
          </w:p>
        </w:tc>
      </w:tr>
      <w:tr w:rsidR="00F12FEB" w:rsidRPr="00AA5D8E"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F12FEB" w:rsidRPr="00AA5D8E" w:rsidRDefault="00F12FEB" w:rsidP="009E71C6">
            <w:pPr>
              <w:pStyle w:val="ListNumber"/>
              <w:tabs>
                <w:tab w:val="clear" w:pos="284"/>
              </w:tabs>
              <w:ind w:left="340" w:hanging="340"/>
              <w:jc w:val="left"/>
              <w:rPr>
                <w:b w:val="0"/>
                <w:color w:val="auto"/>
                <w:sz w:val="16"/>
                <w:szCs w:val="16"/>
                <w:lang w:val="en-GB"/>
              </w:rPr>
            </w:pPr>
            <w:r w:rsidRPr="00AA5D8E">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39BA00C5" w:rsidR="00F12FEB" w:rsidRPr="00AA5D8E" w:rsidRDefault="00E6483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 as a corresponding adjustment for transfer pricing purposes.</w:t>
            </w:r>
          </w:p>
        </w:tc>
      </w:tr>
      <w:tr w:rsidR="00F12FEB" w:rsidRPr="00AA5D8E"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F12FEB" w:rsidRPr="00AA5D8E" w:rsidRDefault="00F12FEB" w:rsidP="009E71C6">
            <w:pPr>
              <w:pStyle w:val="ListNumber"/>
              <w:tabs>
                <w:tab w:val="clear" w:pos="284"/>
              </w:tabs>
              <w:ind w:left="340" w:hanging="340"/>
              <w:jc w:val="left"/>
              <w:rPr>
                <w:b w:val="0"/>
                <w:color w:val="auto"/>
                <w:sz w:val="16"/>
                <w:szCs w:val="16"/>
                <w:lang w:val="en-GB"/>
              </w:rPr>
            </w:pPr>
            <w:r w:rsidRPr="00AA5D8E">
              <w:rPr>
                <w:b w:val="0"/>
                <w:color w:val="auto"/>
                <w:sz w:val="16"/>
                <w:szCs w:val="16"/>
                <w:lang w:val="en-GB"/>
              </w:rPr>
              <w:t>Does your MS levy any withholding tax on interest payments?</w:t>
            </w:r>
          </w:p>
        </w:tc>
        <w:tc>
          <w:tcPr>
            <w:tcW w:w="3933" w:type="dxa"/>
          </w:tcPr>
          <w:p w14:paraId="08F7EF56" w14:textId="0434BE59" w:rsidR="00F12FEB"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p>
        </w:tc>
      </w:tr>
      <w:tr w:rsidR="00F12FEB" w:rsidRPr="00AA5D8E"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F12FEB" w:rsidRPr="00AA5D8E" w:rsidRDefault="00F12FEB" w:rsidP="003A6F57">
            <w:pPr>
              <w:pStyle w:val="ListNumber"/>
              <w:tabs>
                <w:tab w:val="clear" w:pos="284"/>
              </w:tabs>
              <w:ind w:left="340" w:hanging="340"/>
              <w:jc w:val="left"/>
              <w:rPr>
                <w:b w:val="0"/>
                <w:color w:val="auto"/>
                <w:sz w:val="16"/>
                <w:szCs w:val="16"/>
                <w:lang w:val="en-GB"/>
              </w:rPr>
            </w:pPr>
            <w:r w:rsidRPr="00AA5D8E">
              <w:rPr>
                <w:b w:val="0"/>
                <w:color w:val="auto"/>
                <w:sz w:val="16"/>
                <w:szCs w:val="16"/>
                <w:lang w:val="en-GB"/>
              </w:rPr>
              <w:t>If yes to 19</w:t>
            </w:r>
          </w:p>
        </w:tc>
        <w:tc>
          <w:tcPr>
            <w:tcW w:w="3933" w:type="dxa"/>
          </w:tcPr>
          <w:p w14:paraId="4538E2CE" w14:textId="77777777"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12FEB" w:rsidRPr="00AA5D8E"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F12FEB" w:rsidRPr="00AA5D8E" w:rsidRDefault="00F12FEB" w:rsidP="000243B6">
            <w:pPr>
              <w:pStyle w:val="ListNumber"/>
              <w:numPr>
                <w:ilvl w:val="0"/>
                <w:numId w:val="27"/>
              </w:numPr>
              <w:ind w:left="709"/>
              <w:jc w:val="left"/>
              <w:rPr>
                <w:b w:val="0"/>
                <w:color w:val="auto"/>
                <w:sz w:val="16"/>
                <w:szCs w:val="16"/>
                <w:lang w:val="en-GB"/>
              </w:rPr>
            </w:pPr>
            <w:r w:rsidRPr="00AA5D8E">
              <w:rPr>
                <w:b w:val="0"/>
                <w:color w:val="auto"/>
                <w:sz w:val="16"/>
                <w:szCs w:val="16"/>
                <w:lang w:val="en-GB"/>
              </w:rPr>
              <w:t>What is the rate of withholding tax (ignoring tax treaties)?</w:t>
            </w:r>
          </w:p>
        </w:tc>
        <w:tc>
          <w:tcPr>
            <w:tcW w:w="3933" w:type="dxa"/>
          </w:tcPr>
          <w:p w14:paraId="1BE370EB" w14:textId="58817688" w:rsidR="00F12FEB" w:rsidRPr="00AA5D8E" w:rsidRDefault="00566E6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25</w:t>
            </w:r>
            <w:r w:rsidR="00F12FEB" w:rsidRPr="00AA5D8E">
              <w:rPr>
                <w:color w:val="auto"/>
                <w:sz w:val="16"/>
                <w:szCs w:val="16"/>
                <w:lang w:val="en-GB"/>
              </w:rPr>
              <w:t>%.</w:t>
            </w:r>
            <w:r w:rsidRPr="00AA5D8E">
              <w:rPr>
                <w:color w:val="auto"/>
                <w:sz w:val="16"/>
                <w:szCs w:val="16"/>
                <w:lang w:val="en-GB"/>
              </w:rPr>
              <w:t xml:space="preserve"> See art. 94 para. 4 CIRC.</w:t>
            </w:r>
          </w:p>
        </w:tc>
      </w:tr>
      <w:tr w:rsidR="00F12FEB" w:rsidRPr="00AA5D8E"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F12FEB" w:rsidRPr="00AA5D8E" w:rsidRDefault="00F12FEB" w:rsidP="000243B6">
            <w:pPr>
              <w:pStyle w:val="ListNumber"/>
              <w:numPr>
                <w:ilvl w:val="0"/>
                <w:numId w:val="27"/>
              </w:numPr>
              <w:ind w:left="709"/>
              <w:jc w:val="left"/>
              <w:rPr>
                <w:b w:val="0"/>
                <w:color w:val="auto"/>
                <w:sz w:val="16"/>
                <w:szCs w:val="16"/>
                <w:lang w:val="en-GB"/>
              </w:rPr>
            </w:pPr>
            <w:r w:rsidRPr="00AA5D8E">
              <w:rPr>
                <w:b w:val="0"/>
                <w:color w:val="auto"/>
                <w:sz w:val="16"/>
                <w:szCs w:val="16"/>
                <w:lang w:val="en-GB"/>
              </w:rPr>
              <w:t xml:space="preserve">Are there special withholding tax rules for interest paid on a loan from a group member company? </w:t>
            </w:r>
          </w:p>
        </w:tc>
        <w:tc>
          <w:tcPr>
            <w:tcW w:w="3933" w:type="dxa"/>
          </w:tcPr>
          <w:p w14:paraId="0800C15C" w14:textId="1E961F35" w:rsidR="00F12FEB" w:rsidRPr="00AA5D8E" w:rsidRDefault="004F5D8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 xml:space="preserve">Yes. Under art. 97 para. 1, e) </w:t>
            </w:r>
            <w:r w:rsidR="00952FAA" w:rsidRPr="00AA5D8E">
              <w:rPr>
                <w:color w:val="auto"/>
                <w:sz w:val="16"/>
                <w:szCs w:val="16"/>
                <w:lang w:val="en-GB"/>
              </w:rPr>
              <w:t xml:space="preserve">of </w:t>
            </w:r>
            <w:r w:rsidRPr="00AA5D8E">
              <w:rPr>
                <w:color w:val="auto"/>
                <w:sz w:val="16"/>
                <w:szCs w:val="16"/>
                <w:lang w:val="en-GB"/>
              </w:rPr>
              <w:t>CIRC no withholding tax applies if the interest is paid to a resident company</w:t>
            </w:r>
            <w:r w:rsidR="00C75A23" w:rsidRPr="00AA5D8E">
              <w:rPr>
                <w:color w:val="auto"/>
                <w:sz w:val="16"/>
                <w:szCs w:val="16"/>
                <w:lang w:val="en-GB"/>
              </w:rPr>
              <w:t xml:space="preserve"> taxed under the special tax regime of group taxation.</w:t>
            </w:r>
            <w:r w:rsidRPr="00AA5D8E">
              <w:rPr>
                <w:color w:val="auto"/>
                <w:sz w:val="16"/>
                <w:szCs w:val="16"/>
                <w:lang w:val="en-GB"/>
              </w:rPr>
              <w:t>.</w:t>
            </w:r>
          </w:p>
        </w:tc>
      </w:tr>
      <w:tr w:rsidR="00F12FEB" w:rsidRPr="00AA5D8E"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F12FEB" w:rsidRPr="00AA5D8E" w:rsidRDefault="00F12FEB" w:rsidP="000243B6">
            <w:pPr>
              <w:pStyle w:val="ListNumber"/>
              <w:numPr>
                <w:ilvl w:val="0"/>
                <w:numId w:val="27"/>
              </w:numPr>
              <w:ind w:left="709"/>
              <w:jc w:val="left"/>
              <w:rPr>
                <w:b w:val="0"/>
                <w:color w:val="auto"/>
                <w:sz w:val="16"/>
                <w:szCs w:val="16"/>
                <w:lang w:val="en-GB"/>
              </w:rPr>
            </w:pPr>
            <w:r w:rsidRPr="00AA5D8E">
              <w:rPr>
                <w:b w:val="0"/>
                <w:color w:val="auto"/>
                <w:sz w:val="16"/>
                <w:szCs w:val="16"/>
                <w:lang w:val="en-GB"/>
              </w:rPr>
              <w:t xml:space="preserve">Does this apply regardless of the tax residence of the creditor company, e.g. member state, treaty state, tax haven? </w:t>
            </w:r>
          </w:p>
        </w:tc>
        <w:tc>
          <w:tcPr>
            <w:tcW w:w="3933" w:type="dxa"/>
          </w:tcPr>
          <w:p w14:paraId="1675CFE6" w14:textId="3C3251E7" w:rsidR="006D3F73" w:rsidRPr="00AA5D8E" w:rsidRDefault="00952FA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r w:rsidR="006D3F73" w:rsidRPr="00AA5D8E">
              <w:rPr>
                <w:color w:val="auto"/>
                <w:sz w:val="16"/>
                <w:szCs w:val="16"/>
                <w:lang w:val="en-GB"/>
              </w:rPr>
              <w:t xml:space="preserve"> However, EU Directives and Double Tax Treaties may establish no WHT (withholding tax) or reduced WHT rates.</w:t>
            </w:r>
          </w:p>
          <w:p w14:paraId="1F5663A7" w14:textId="2AA28C65" w:rsidR="00F12FEB"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The rate is 35% if the interest is paid or made available to the accounts of one or more taxpayers held on behalf of unidentified third parties </w:t>
            </w:r>
            <w:r w:rsidR="00C75A23" w:rsidRPr="00AA5D8E">
              <w:rPr>
                <w:color w:val="auto"/>
                <w:sz w:val="16"/>
                <w:szCs w:val="16"/>
                <w:lang w:val="en-GB"/>
              </w:rPr>
              <w:t>paid to an entity located in a blacklisted jurisdiction (see articles 94 para. 8 and 87 para. 4 of CIRC).</w:t>
            </w:r>
          </w:p>
        </w:tc>
      </w:tr>
      <w:tr w:rsidR="00F12FEB" w:rsidRPr="00AA5D8E"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40B56B11" w:rsidR="00F12FEB" w:rsidRPr="00AA5D8E" w:rsidRDefault="00F12FEB" w:rsidP="000243B6">
            <w:pPr>
              <w:pStyle w:val="ListNumber"/>
              <w:numPr>
                <w:ilvl w:val="0"/>
                <w:numId w:val="27"/>
              </w:numPr>
              <w:ind w:left="709"/>
              <w:jc w:val="left"/>
              <w:rPr>
                <w:b w:val="0"/>
                <w:color w:val="auto"/>
                <w:sz w:val="16"/>
                <w:szCs w:val="16"/>
                <w:lang w:val="en-GB"/>
              </w:rPr>
            </w:pPr>
            <w:r w:rsidRPr="00AA5D8E">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41AB8E04" w:rsidR="00F12FEB" w:rsidRPr="00AA5D8E" w:rsidRDefault="00C75A2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 (see- article 14.º, para. 13 to 15 of CIRC).</w:t>
            </w:r>
          </w:p>
        </w:tc>
      </w:tr>
      <w:tr w:rsidR="00F12FEB" w:rsidRPr="00AA5D8E"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F12FEB" w:rsidRPr="00AA5D8E" w:rsidRDefault="00F12FEB" w:rsidP="000243B6">
            <w:pPr>
              <w:pStyle w:val="ListNumber"/>
              <w:numPr>
                <w:ilvl w:val="0"/>
                <w:numId w:val="27"/>
              </w:numPr>
              <w:ind w:left="709"/>
              <w:jc w:val="left"/>
              <w:rPr>
                <w:b w:val="0"/>
                <w:color w:val="auto"/>
                <w:sz w:val="16"/>
                <w:szCs w:val="16"/>
                <w:lang w:val="en-GB"/>
              </w:rPr>
            </w:pPr>
            <w:r w:rsidRPr="00AA5D8E">
              <w:rPr>
                <w:b w:val="0"/>
                <w:color w:val="auto"/>
                <w:sz w:val="16"/>
                <w:szCs w:val="16"/>
                <w:lang w:val="en-GB"/>
              </w:rPr>
              <w:t>Is such exemption, reduction or refund subject to other anti-avoidance requirements? If yes, please explain briefly.</w:t>
            </w:r>
          </w:p>
        </w:tc>
        <w:tc>
          <w:tcPr>
            <w:tcW w:w="3933" w:type="dxa"/>
          </w:tcPr>
          <w:p w14:paraId="2EF91D2E" w14:textId="4ED1B474" w:rsidR="00F12FEB" w:rsidRPr="00AA5D8E" w:rsidRDefault="00B75E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 Interest payments must be justified or explained under art. 98 para 2, b), number 6 of the CIRC.</w:t>
            </w:r>
          </w:p>
        </w:tc>
      </w:tr>
      <w:tr w:rsidR="00F12FEB" w:rsidRPr="00AA5D8E"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F12FEB" w:rsidRPr="00AA5D8E" w:rsidRDefault="00F12FEB" w:rsidP="00427661">
            <w:pPr>
              <w:rPr>
                <w:lang w:val="en-GB"/>
              </w:rPr>
            </w:pPr>
            <w:r w:rsidRPr="00AA5D8E">
              <w:rPr>
                <w:i/>
                <w:sz w:val="16"/>
                <w:szCs w:val="16"/>
                <w:lang w:val="en-GB"/>
              </w:rPr>
              <w:t>Allowance for corporate equity</w:t>
            </w:r>
          </w:p>
        </w:tc>
      </w:tr>
      <w:tr w:rsidR="00F12FEB" w:rsidRPr="00AA5D8E"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F12FEB" w:rsidRPr="00AA5D8E" w:rsidRDefault="00F12FEB" w:rsidP="00427661">
            <w:pPr>
              <w:pStyle w:val="ListNumber"/>
              <w:tabs>
                <w:tab w:val="clear" w:pos="284"/>
              </w:tabs>
              <w:ind w:left="340" w:hanging="340"/>
              <w:jc w:val="left"/>
              <w:rPr>
                <w:b w:val="0"/>
                <w:i/>
                <w:color w:val="auto"/>
                <w:sz w:val="16"/>
                <w:szCs w:val="16"/>
                <w:lang w:val="en-GB"/>
              </w:rPr>
            </w:pPr>
            <w:r w:rsidRPr="00AA5D8E">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1571F5ED" w:rsidR="00F12FEB" w:rsidRPr="00AA5D8E" w:rsidRDefault="00F12FE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F12FEB" w:rsidRPr="00AA5D8E" w:rsidRDefault="00F12FEB" w:rsidP="00427661">
            <w:pPr>
              <w:pStyle w:val="ListNumber"/>
              <w:tabs>
                <w:tab w:val="clear" w:pos="284"/>
              </w:tabs>
              <w:ind w:left="340" w:hanging="340"/>
              <w:jc w:val="left"/>
              <w:rPr>
                <w:b w:val="0"/>
                <w:color w:val="auto"/>
                <w:sz w:val="16"/>
                <w:szCs w:val="16"/>
                <w:lang w:val="en-GB"/>
              </w:rPr>
            </w:pPr>
            <w:r w:rsidRPr="00AA5D8E">
              <w:rPr>
                <w:b w:val="0"/>
                <w:color w:val="auto"/>
                <w:sz w:val="16"/>
                <w:szCs w:val="16"/>
                <w:lang w:val="en-GB"/>
              </w:rPr>
              <w:t>Does your MS offer any tax deduction for dividends declared or paid? If yes, please briefly explain.</w:t>
            </w:r>
          </w:p>
        </w:tc>
        <w:tc>
          <w:tcPr>
            <w:tcW w:w="3933" w:type="dxa"/>
          </w:tcPr>
          <w:p w14:paraId="3B67270E" w14:textId="4FF44A8E" w:rsidR="00F12FEB" w:rsidRPr="00AA5D8E" w:rsidRDefault="00F12FEB"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F12FEB" w:rsidRPr="00AA5D8E" w:rsidRDefault="00F12FEB" w:rsidP="00427661">
            <w:pPr>
              <w:rPr>
                <w:lang w:val="en-GB"/>
              </w:rPr>
            </w:pPr>
            <w:r w:rsidRPr="00AA5D8E">
              <w:rPr>
                <w:i/>
                <w:sz w:val="16"/>
                <w:szCs w:val="16"/>
                <w:lang w:val="en-GB"/>
              </w:rPr>
              <w:t>Royalty and other income from intangible property</w:t>
            </w:r>
          </w:p>
        </w:tc>
      </w:tr>
      <w:tr w:rsidR="00F12FEB" w:rsidRPr="00AA5D8E"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F12FEB" w:rsidRPr="00AA5D8E" w:rsidRDefault="00F12FEB" w:rsidP="00630C9F">
            <w:pPr>
              <w:pStyle w:val="ListNumber"/>
              <w:tabs>
                <w:tab w:val="clear" w:pos="284"/>
              </w:tabs>
              <w:ind w:left="340" w:hanging="340"/>
              <w:jc w:val="left"/>
              <w:rPr>
                <w:b w:val="0"/>
                <w:i/>
                <w:sz w:val="16"/>
                <w:szCs w:val="16"/>
                <w:lang w:val="en-GB"/>
              </w:rPr>
            </w:pPr>
            <w:r w:rsidRPr="00AA5D8E">
              <w:rPr>
                <w:b w:val="0"/>
                <w:sz w:val="16"/>
                <w:szCs w:val="16"/>
                <w:lang w:val="en-GB"/>
              </w:rPr>
              <w:t xml:space="preserve">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w:t>
            </w:r>
            <w:r w:rsidRPr="00AA5D8E">
              <w:rPr>
                <w:b w:val="0"/>
                <w:sz w:val="16"/>
                <w:szCs w:val="16"/>
                <w:lang w:val="en-GB"/>
              </w:rPr>
              <w:lastRenderedPageBreak/>
              <w:t>preferential tax treatment be applied also to income from other taxpayers in your MS?</w:t>
            </w:r>
          </w:p>
        </w:tc>
        <w:tc>
          <w:tcPr>
            <w:tcW w:w="3933" w:type="dxa"/>
          </w:tcPr>
          <w:p w14:paraId="6A033761" w14:textId="76414E19" w:rsidR="00F12FEB" w:rsidRPr="00AA5D8E" w:rsidRDefault="00F626EE" w:rsidP="00F12FE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lastRenderedPageBreak/>
              <w:t>Portugal introduced recently a ‘Patent Box’ tax regime under art. 50-A of the CIRC. Accordingly, income derived from the use or exploitation of registered patents, designs and industrial models are 50% tax exempted</w:t>
            </w:r>
            <w:r w:rsidR="00E30EB9" w:rsidRPr="00AA5D8E">
              <w:rPr>
                <w:rStyle w:val="FootnoteReference"/>
                <w:color w:val="auto"/>
                <w:szCs w:val="16"/>
                <w:lang w:val="en-GB"/>
              </w:rPr>
              <w:footnoteReference w:id="9"/>
            </w:r>
            <w:r w:rsidRPr="00AA5D8E">
              <w:rPr>
                <w:color w:val="auto"/>
                <w:sz w:val="16"/>
                <w:szCs w:val="16"/>
                <w:lang w:val="en-GB"/>
              </w:rPr>
              <w:t>.</w:t>
            </w:r>
          </w:p>
          <w:p w14:paraId="3D84CA21" w14:textId="23AF25D8" w:rsidR="00F12FEB" w:rsidRPr="00AA5D8E" w:rsidRDefault="00F626EE" w:rsidP="001E725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To counteract abuse,</w:t>
            </w:r>
            <w:r w:rsidR="004456D0" w:rsidRPr="00AA5D8E">
              <w:rPr>
                <w:color w:val="auto"/>
                <w:sz w:val="16"/>
                <w:szCs w:val="16"/>
                <w:lang w:val="en-GB"/>
              </w:rPr>
              <w:t xml:space="preserve"> namely:</w:t>
            </w:r>
            <w:r w:rsidRPr="00AA5D8E">
              <w:rPr>
                <w:color w:val="auto"/>
                <w:sz w:val="16"/>
                <w:szCs w:val="16"/>
                <w:lang w:val="en-GB"/>
              </w:rPr>
              <w:t xml:space="preserve"> </w:t>
            </w:r>
            <w:r w:rsidR="001E725B" w:rsidRPr="00AA5D8E">
              <w:rPr>
                <w:color w:val="auto"/>
                <w:sz w:val="16"/>
                <w:szCs w:val="16"/>
                <w:lang w:val="en-GB"/>
              </w:rPr>
              <w:t>industrial property rights must result from R&amp;D activities of the company (carried in house or contracted out); industrial property rights income must be allocated to commercial activities</w:t>
            </w:r>
            <w:r w:rsidR="004456D0" w:rsidRPr="00AA5D8E">
              <w:rPr>
                <w:color w:val="auto"/>
                <w:sz w:val="16"/>
                <w:szCs w:val="16"/>
                <w:lang w:val="en-GB"/>
              </w:rPr>
              <w:t xml:space="preserve">; the company exploiting industrial </w:t>
            </w:r>
            <w:r w:rsidR="004456D0" w:rsidRPr="00AA5D8E">
              <w:rPr>
                <w:color w:val="auto"/>
                <w:sz w:val="16"/>
                <w:szCs w:val="16"/>
                <w:lang w:val="en-GB"/>
              </w:rPr>
              <w:lastRenderedPageBreak/>
              <w:t xml:space="preserve">property rights is not set up in a tax haven as defined in the list </w:t>
            </w:r>
            <w:r w:rsidR="00FF63A2" w:rsidRPr="00AA5D8E">
              <w:rPr>
                <w:color w:val="auto"/>
                <w:sz w:val="16"/>
                <w:szCs w:val="16"/>
                <w:lang w:val="en-GB"/>
              </w:rPr>
              <w:t>approved by the Ministry of Finance</w:t>
            </w:r>
            <w:r w:rsidR="0042179B" w:rsidRPr="00AA5D8E">
              <w:rPr>
                <w:color w:val="auto"/>
                <w:sz w:val="16"/>
                <w:szCs w:val="16"/>
                <w:lang w:val="en-GB"/>
              </w:rPr>
              <w:t xml:space="preserve"> (see answer to question 3)</w:t>
            </w:r>
            <w:r w:rsidR="00E30EB9" w:rsidRPr="00AA5D8E">
              <w:rPr>
                <w:rStyle w:val="FootnoteReference"/>
                <w:color w:val="auto"/>
                <w:szCs w:val="16"/>
                <w:lang w:val="en-GB"/>
              </w:rPr>
              <w:footnoteReference w:id="10"/>
            </w:r>
            <w:r w:rsidR="0042179B" w:rsidRPr="00AA5D8E">
              <w:rPr>
                <w:color w:val="auto"/>
                <w:sz w:val="16"/>
                <w:szCs w:val="16"/>
                <w:lang w:val="en-GB"/>
              </w:rPr>
              <w:t>.</w:t>
            </w:r>
          </w:p>
        </w:tc>
      </w:tr>
      <w:tr w:rsidR="00F12FEB" w:rsidRPr="00AA5D8E"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F12FEB" w:rsidRPr="00AA5D8E" w:rsidRDefault="00F12FEB" w:rsidP="0046408E">
            <w:pPr>
              <w:pStyle w:val="ListNumber"/>
              <w:tabs>
                <w:tab w:val="clear" w:pos="284"/>
              </w:tabs>
              <w:ind w:left="340" w:hanging="340"/>
              <w:jc w:val="left"/>
              <w:rPr>
                <w:b w:val="0"/>
                <w:sz w:val="16"/>
                <w:szCs w:val="16"/>
                <w:lang w:val="en-GB"/>
              </w:rPr>
            </w:pPr>
            <w:r w:rsidRPr="00AA5D8E">
              <w:rPr>
                <w:b w:val="0"/>
                <w:sz w:val="16"/>
                <w:szCs w:val="16"/>
                <w:lang w:val="en-GB"/>
              </w:rPr>
              <w:lastRenderedPageBreak/>
              <w:t>Can a company in your MS obtain R&amp;D tax credits (typically enhanced tax deduction or tax refund) for costs incurred, e.g. in developing IP rights?</w:t>
            </w:r>
          </w:p>
        </w:tc>
        <w:tc>
          <w:tcPr>
            <w:tcW w:w="3933" w:type="dxa"/>
          </w:tcPr>
          <w:p w14:paraId="08B99236" w14:textId="37788245" w:rsidR="00F12FEB" w:rsidRPr="00AA5D8E" w:rsidRDefault="00A41C7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p>
        </w:tc>
      </w:tr>
      <w:tr w:rsidR="00F12FEB" w:rsidRPr="00AA5D8E"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F12FEB" w:rsidRPr="00AA5D8E" w:rsidRDefault="00F12FEB" w:rsidP="003A6F57">
            <w:pPr>
              <w:pStyle w:val="ListNumber"/>
              <w:tabs>
                <w:tab w:val="clear" w:pos="284"/>
              </w:tabs>
              <w:ind w:left="340" w:hanging="340"/>
              <w:jc w:val="left"/>
              <w:rPr>
                <w:b w:val="0"/>
                <w:sz w:val="16"/>
                <w:szCs w:val="16"/>
                <w:lang w:val="en-GB"/>
              </w:rPr>
            </w:pPr>
            <w:r w:rsidRPr="00AA5D8E">
              <w:rPr>
                <w:b w:val="0"/>
                <w:sz w:val="16"/>
                <w:szCs w:val="16"/>
                <w:lang w:val="en-GB"/>
              </w:rPr>
              <w:t xml:space="preserve">If yes to 24, </w:t>
            </w:r>
          </w:p>
        </w:tc>
        <w:tc>
          <w:tcPr>
            <w:tcW w:w="3933" w:type="dxa"/>
          </w:tcPr>
          <w:p w14:paraId="16D86D21" w14:textId="77777777"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12FEB" w:rsidRPr="00AA5D8E"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F12FEB" w:rsidRPr="00AA5D8E" w:rsidRDefault="00F12FEB" w:rsidP="00D67218">
            <w:pPr>
              <w:pStyle w:val="ListNumber"/>
              <w:numPr>
                <w:ilvl w:val="0"/>
                <w:numId w:val="21"/>
              </w:numPr>
              <w:ind w:left="714" w:hanging="357"/>
              <w:jc w:val="left"/>
              <w:rPr>
                <w:b w:val="0"/>
                <w:sz w:val="16"/>
                <w:szCs w:val="16"/>
                <w:lang w:val="en-GB"/>
              </w:rPr>
            </w:pPr>
            <w:r w:rsidRPr="00AA5D8E">
              <w:rPr>
                <w:b w:val="0"/>
                <w:sz w:val="16"/>
                <w:szCs w:val="16"/>
                <w:lang w:val="en-GB"/>
              </w:rPr>
              <w:t>Please briefly explain the requirements which have to be met, e.g. requirements for certain activity or successful development, etc.</w:t>
            </w:r>
          </w:p>
        </w:tc>
        <w:tc>
          <w:tcPr>
            <w:tcW w:w="3933" w:type="dxa"/>
          </w:tcPr>
          <w:p w14:paraId="4C28904E" w14:textId="4927B960" w:rsidR="00F12FEB" w:rsidRPr="00AA5D8E" w:rsidRDefault="00BF52A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 xml:space="preserve">IP and industrial property rights’ expenses can be totally deducted as tax costs in the respective fiscal year if allocated to development projects </w:t>
            </w:r>
            <w:r w:rsidR="00041B35" w:rsidRPr="00AA5D8E">
              <w:rPr>
                <w:color w:val="auto"/>
                <w:sz w:val="16"/>
                <w:szCs w:val="16"/>
                <w:lang w:val="en-GB"/>
              </w:rPr>
              <w:t xml:space="preserve">of the company </w:t>
            </w:r>
            <w:r w:rsidRPr="00AA5D8E">
              <w:rPr>
                <w:color w:val="auto"/>
                <w:sz w:val="16"/>
                <w:szCs w:val="16"/>
                <w:lang w:val="en-GB"/>
              </w:rPr>
              <w:t>under art. 32 of the CIRC</w:t>
            </w:r>
            <w:r w:rsidR="001924E0" w:rsidRPr="00AA5D8E">
              <w:rPr>
                <w:color w:val="auto"/>
                <w:sz w:val="16"/>
                <w:szCs w:val="16"/>
                <w:lang w:val="en-GB"/>
              </w:rPr>
              <w:t>. These projects shall aim to enhance scientifically or technically products or services</w:t>
            </w:r>
            <w:r w:rsidR="00E30EB9" w:rsidRPr="00AA5D8E">
              <w:rPr>
                <w:rStyle w:val="FootnoteReference"/>
                <w:color w:val="auto"/>
                <w:szCs w:val="16"/>
                <w:lang w:val="en-GB"/>
              </w:rPr>
              <w:footnoteReference w:id="11"/>
            </w:r>
            <w:r w:rsidR="001924E0" w:rsidRPr="00AA5D8E">
              <w:rPr>
                <w:color w:val="auto"/>
                <w:sz w:val="16"/>
                <w:szCs w:val="16"/>
                <w:lang w:val="en-GB"/>
              </w:rPr>
              <w:t>.</w:t>
            </w:r>
          </w:p>
        </w:tc>
      </w:tr>
      <w:tr w:rsidR="00F12FEB" w:rsidRPr="00AA5D8E"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F12FEB" w:rsidRPr="00AA5D8E" w:rsidRDefault="00F12FEB" w:rsidP="000243B6">
            <w:pPr>
              <w:pStyle w:val="ListNumber"/>
              <w:numPr>
                <w:ilvl w:val="0"/>
                <w:numId w:val="21"/>
              </w:numPr>
              <w:ind w:left="714" w:hanging="357"/>
              <w:jc w:val="left"/>
              <w:rPr>
                <w:b w:val="0"/>
                <w:sz w:val="16"/>
                <w:szCs w:val="16"/>
                <w:lang w:val="en-GB"/>
              </w:rPr>
            </w:pPr>
            <w:r w:rsidRPr="00AA5D8E">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7586F73C" w:rsidR="00F12FEB" w:rsidRPr="00AA5D8E" w:rsidRDefault="00041B3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 See art.</w:t>
            </w:r>
            <w:r w:rsidR="00A85852" w:rsidRPr="00AA5D8E">
              <w:rPr>
                <w:color w:val="auto"/>
                <w:sz w:val="16"/>
                <w:szCs w:val="16"/>
                <w:lang w:val="en-GB"/>
              </w:rPr>
              <w:t xml:space="preserve"> 70 of the CIRC.</w:t>
            </w:r>
          </w:p>
        </w:tc>
      </w:tr>
      <w:tr w:rsidR="00F12FEB" w:rsidRPr="00AA5D8E"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F12FEB" w:rsidRPr="00AA5D8E" w:rsidRDefault="00F12FEB" w:rsidP="009E71C6">
            <w:pPr>
              <w:pStyle w:val="ListNumber"/>
              <w:tabs>
                <w:tab w:val="clear" w:pos="284"/>
              </w:tabs>
              <w:ind w:left="340" w:hanging="340"/>
              <w:jc w:val="left"/>
              <w:rPr>
                <w:b w:val="0"/>
                <w:sz w:val="16"/>
                <w:szCs w:val="16"/>
                <w:lang w:val="en-GB"/>
              </w:rPr>
            </w:pPr>
            <w:r w:rsidRPr="00AA5D8E">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5C7DFE40" w14:textId="77777777" w:rsidR="00F12FEB" w:rsidRPr="00AA5D8E" w:rsidRDefault="00353FE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 under</w:t>
            </w:r>
            <w:r w:rsidR="00BD1DBA" w:rsidRPr="00AA5D8E">
              <w:rPr>
                <w:color w:val="auto"/>
                <w:sz w:val="16"/>
                <w:szCs w:val="16"/>
                <w:lang w:val="en-GB"/>
              </w:rPr>
              <w:t xml:space="preserve"> art. 69-A of the CIRC</w:t>
            </w:r>
            <w:r w:rsidRPr="00AA5D8E">
              <w:rPr>
                <w:color w:val="auto"/>
                <w:sz w:val="16"/>
                <w:szCs w:val="16"/>
                <w:lang w:val="en-GB"/>
              </w:rPr>
              <w:t xml:space="preserve"> which applies to a dominant company located in a EU or EEA country and IP rights are transferred by the member group located in Portugal.</w:t>
            </w:r>
          </w:p>
          <w:p w14:paraId="3412204C" w14:textId="77777777" w:rsidR="00353FED" w:rsidRPr="00AA5D8E" w:rsidRDefault="00353FE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 EU or EEA dominant company must comply with the conditions set up to domestic groups (see question 32).</w:t>
            </w:r>
          </w:p>
          <w:p w14:paraId="6354A86D" w14:textId="77777777" w:rsidR="003028CF" w:rsidRPr="00AA5D8E" w:rsidRDefault="00CB642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If the above mentioned conditions are not met</w:t>
            </w:r>
            <w:r w:rsidR="00165BE2" w:rsidRPr="00AA5D8E">
              <w:rPr>
                <w:color w:val="auto"/>
                <w:sz w:val="16"/>
                <w:szCs w:val="16"/>
                <w:lang w:val="en-GB"/>
              </w:rPr>
              <w:t>,</w:t>
            </w:r>
            <w:r w:rsidR="00D959D7" w:rsidRPr="00AA5D8E">
              <w:rPr>
                <w:color w:val="auto"/>
                <w:sz w:val="16"/>
                <w:szCs w:val="16"/>
                <w:lang w:val="en-GB"/>
              </w:rPr>
              <w:t xml:space="preserve"> and considering Model ATP-Structure nº 5, </w:t>
            </w:r>
            <w:r w:rsidR="00165BE2" w:rsidRPr="00AA5D8E">
              <w:rPr>
                <w:color w:val="auto"/>
                <w:sz w:val="16"/>
                <w:szCs w:val="16"/>
                <w:lang w:val="en-GB"/>
              </w:rPr>
              <w:t>capital gains are taxed under CIRC</w:t>
            </w:r>
            <w:r w:rsidR="008F212D" w:rsidRPr="00AA5D8E">
              <w:rPr>
                <w:color w:val="auto"/>
                <w:sz w:val="16"/>
                <w:szCs w:val="16"/>
                <w:lang w:val="en-GB"/>
              </w:rPr>
              <w:t xml:space="preserve"> in accordance with the arm’s length principle and criteria establis</w:t>
            </w:r>
            <w:r w:rsidR="00D959D7" w:rsidRPr="00AA5D8E">
              <w:rPr>
                <w:color w:val="auto"/>
                <w:sz w:val="16"/>
                <w:szCs w:val="16"/>
                <w:lang w:val="en-GB"/>
              </w:rPr>
              <w:t>hed by the OECD Transfer Pricing</w:t>
            </w:r>
            <w:r w:rsidR="008F212D" w:rsidRPr="00AA5D8E">
              <w:rPr>
                <w:color w:val="auto"/>
                <w:sz w:val="16"/>
                <w:szCs w:val="16"/>
                <w:lang w:val="en-GB"/>
              </w:rPr>
              <w:t xml:space="preserve"> Guidelines.</w:t>
            </w:r>
            <w:r w:rsidR="003028CF" w:rsidRPr="00AA5D8E">
              <w:rPr>
                <w:color w:val="auto"/>
                <w:sz w:val="16"/>
                <w:szCs w:val="16"/>
                <w:lang w:val="en-GB"/>
              </w:rPr>
              <w:t xml:space="preserve"> </w:t>
            </w:r>
          </w:p>
          <w:p w14:paraId="0E991374" w14:textId="29DC1532" w:rsidR="00165BE2" w:rsidRPr="00AA5D8E" w:rsidRDefault="009C11F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In line</w:t>
            </w:r>
            <w:r w:rsidR="003028CF" w:rsidRPr="00AA5D8E">
              <w:rPr>
                <w:color w:val="auto"/>
                <w:sz w:val="16"/>
                <w:szCs w:val="16"/>
                <w:lang w:val="en-GB"/>
              </w:rPr>
              <w:t xml:space="preserve"> with Portuguese case law, future appreciations of the IP rights are not taken into account unless they can be determined objectively and with certainty at the time of the transfer.</w:t>
            </w:r>
          </w:p>
        </w:tc>
      </w:tr>
      <w:tr w:rsidR="00F12FEB" w:rsidRPr="00AA5D8E"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688FC2B3" w:rsidR="00F12FEB" w:rsidRPr="00AA5D8E" w:rsidRDefault="00F12FEB" w:rsidP="00D67218">
            <w:pPr>
              <w:pStyle w:val="ListNumber"/>
              <w:tabs>
                <w:tab w:val="clear" w:pos="284"/>
              </w:tabs>
              <w:ind w:left="340" w:hanging="340"/>
              <w:jc w:val="left"/>
              <w:rPr>
                <w:b w:val="0"/>
                <w:sz w:val="16"/>
                <w:szCs w:val="16"/>
                <w:lang w:val="en-GB"/>
              </w:rPr>
            </w:pPr>
            <w:r w:rsidRPr="00AA5D8E">
              <w:rPr>
                <w:b w:val="0"/>
                <w:sz w:val="16"/>
                <w:szCs w:val="16"/>
                <w:lang w:val="en-GB"/>
              </w:rPr>
              <w:t>If no to 26, i.e. your MS would impose tax on the disposal,</w:t>
            </w:r>
          </w:p>
          <w:p w14:paraId="21C81D87" w14:textId="77777777" w:rsidR="00F12FEB" w:rsidRPr="00AA5D8E" w:rsidRDefault="00F12FEB" w:rsidP="009E71C6">
            <w:pPr>
              <w:pStyle w:val="ListNumber"/>
              <w:numPr>
                <w:ilvl w:val="0"/>
                <w:numId w:val="0"/>
              </w:numPr>
              <w:ind w:left="340"/>
              <w:rPr>
                <w:b w:val="0"/>
                <w:sz w:val="16"/>
                <w:szCs w:val="16"/>
                <w:lang w:val="en-GB"/>
              </w:rPr>
            </w:pPr>
          </w:p>
        </w:tc>
        <w:tc>
          <w:tcPr>
            <w:tcW w:w="3933" w:type="dxa"/>
          </w:tcPr>
          <w:p w14:paraId="15218C20" w14:textId="198971AA" w:rsidR="00F12FEB" w:rsidRPr="00AA5D8E" w:rsidRDefault="00852C7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N/A</w:t>
            </w:r>
            <w:r w:rsidR="00E30EB9" w:rsidRPr="00AA5D8E">
              <w:rPr>
                <w:rStyle w:val="FootnoteReference"/>
                <w:color w:val="auto"/>
                <w:szCs w:val="16"/>
                <w:lang w:val="en-GB"/>
              </w:rPr>
              <w:footnoteReference w:id="12"/>
            </w:r>
          </w:p>
        </w:tc>
      </w:tr>
      <w:tr w:rsidR="00E30EB9" w:rsidRPr="00AA5D8E"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E30EB9" w:rsidRPr="00AA5D8E" w:rsidRDefault="00E30EB9" w:rsidP="000243B6">
            <w:pPr>
              <w:pStyle w:val="ListNumber"/>
              <w:numPr>
                <w:ilvl w:val="0"/>
                <w:numId w:val="22"/>
              </w:numPr>
              <w:ind w:left="714" w:hanging="357"/>
              <w:jc w:val="left"/>
              <w:rPr>
                <w:b w:val="0"/>
                <w:sz w:val="16"/>
                <w:szCs w:val="16"/>
                <w:lang w:val="en-GB"/>
              </w:rPr>
            </w:pPr>
            <w:r w:rsidRPr="00AA5D8E">
              <w:rPr>
                <w:b w:val="0"/>
                <w:sz w:val="16"/>
                <w:szCs w:val="16"/>
                <w:lang w:val="en-GB"/>
              </w:rPr>
              <w:t>Is the relevant capital gains tax rate lower than the standard rate?</w:t>
            </w:r>
          </w:p>
        </w:tc>
        <w:tc>
          <w:tcPr>
            <w:tcW w:w="3933" w:type="dxa"/>
          </w:tcPr>
          <w:p w14:paraId="2ECDA0F6" w14:textId="4B339B5B" w:rsidR="00E30EB9" w:rsidRPr="00AA5D8E" w:rsidRDefault="00E30EB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 However a partial exemption can be applied whenever the proceeds are reinvested (See art 48 of the CIRC).</w:t>
            </w:r>
          </w:p>
        </w:tc>
      </w:tr>
      <w:tr w:rsidR="00E30EB9" w:rsidRPr="00AA5D8E"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E30EB9" w:rsidRPr="00AA5D8E" w:rsidRDefault="00E30EB9" w:rsidP="003949EE">
            <w:pPr>
              <w:pStyle w:val="ListNumber"/>
              <w:numPr>
                <w:ilvl w:val="0"/>
                <w:numId w:val="22"/>
              </w:numPr>
              <w:jc w:val="left"/>
              <w:rPr>
                <w:b w:val="0"/>
                <w:sz w:val="16"/>
                <w:szCs w:val="16"/>
                <w:lang w:val="en-GB"/>
              </w:rPr>
            </w:pPr>
            <w:r w:rsidRPr="00AA5D8E">
              <w:rPr>
                <w:b w:val="0"/>
                <w:sz w:val="16"/>
                <w:szCs w:val="16"/>
                <w:lang w:val="en-GB"/>
              </w:rPr>
              <w:t xml:space="preserve">Does taxation arise as a result of an anti-abuse provision or similar? </w:t>
            </w:r>
          </w:p>
        </w:tc>
        <w:tc>
          <w:tcPr>
            <w:tcW w:w="3933" w:type="dxa"/>
          </w:tcPr>
          <w:p w14:paraId="38972EB6" w14:textId="15DBBE43" w:rsidR="00E30EB9" w:rsidRPr="00AA5D8E" w:rsidRDefault="00E30EB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E30EB9" w:rsidRPr="00AA5D8E"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E30EB9" w:rsidRPr="00AA5D8E" w:rsidRDefault="00E30EB9" w:rsidP="004E06FE">
            <w:pPr>
              <w:pStyle w:val="ListNumber"/>
              <w:numPr>
                <w:ilvl w:val="0"/>
                <w:numId w:val="22"/>
              </w:numPr>
              <w:ind w:left="714" w:hanging="357"/>
              <w:jc w:val="left"/>
              <w:rPr>
                <w:sz w:val="16"/>
                <w:szCs w:val="16"/>
                <w:lang w:val="en-GB"/>
              </w:rPr>
            </w:pPr>
            <w:r w:rsidRPr="00AA5D8E">
              <w:rPr>
                <w:b w:val="0"/>
                <w:sz w:val="16"/>
                <w:szCs w:val="16"/>
                <w:lang w:val="en-GB"/>
              </w:rPr>
              <w:t>Would any R&amp;D tax credits obtained in the past be reversed upon a disposal?</w:t>
            </w:r>
          </w:p>
        </w:tc>
        <w:tc>
          <w:tcPr>
            <w:tcW w:w="3933" w:type="dxa"/>
          </w:tcPr>
          <w:p w14:paraId="47004F5B" w14:textId="2A1EDFC4" w:rsidR="00E30EB9" w:rsidRPr="00AA5D8E" w:rsidRDefault="00E30EB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E30EB9" w:rsidRPr="00AA5D8E"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E30EB9" w:rsidRPr="00AA5D8E" w:rsidRDefault="00E30EB9" w:rsidP="00D67218">
            <w:pPr>
              <w:pStyle w:val="ListNumber"/>
              <w:numPr>
                <w:ilvl w:val="0"/>
                <w:numId w:val="22"/>
              </w:numPr>
              <w:ind w:left="714" w:hanging="357"/>
              <w:jc w:val="left"/>
              <w:rPr>
                <w:b w:val="0"/>
                <w:sz w:val="16"/>
                <w:szCs w:val="16"/>
                <w:lang w:val="en-GB"/>
              </w:rPr>
            </w:pPr>
            <w:r w:rsidRPr="00AA5D8E">
              <w:rPr>
                <w:b w:val="0"/>
                <w:sz w:val="16"/>
                <w:szCs w:val="16"/>
                <w:lang w:val="en-GB"/>
              </w:rPr>
              <w:t>Can a ruling confirming the value of the IP be obtained?</w:t>
            </w:r>
          </w:p>
        </w:tc>
        <w:tc>
          <w:tcPr>
            <w:tcW w:w="3933" w:type="dxa"/>
          </w:tcPr>
          <w:p w14:paraId="1F22DE1D" w14:textId="7D7B2A5B" w:rsidR="00E30EB9" w:rsidRPr="00AA5D8E" w:rsidRDefault="00E30EB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F12FEB" w:rsidRPr="00AA5D8E" w:rsidRDefault="00F12FEB" w:rsidP="00427661">
            <w:pPr>
              <w:rPr>
                <w:lang w:val="en-GB"/>
              </w:rPr>
            </w:pPr>
            <w:r w:rsidRPr="00AA5D8E">
              <w:rPr>
                <w:i/>
                <w:sz w:val="16"/>
                <w:szCs w:val="16"/>
                <w:lang w:val="en-GB"/>
              </w:rPr>
              <w:lastRenderedPageBreak/>
              <w:t>Royalty and other IP costs</w:t>
            </w:r>
          </w:p>
        </w:tc>
      </w:tr>
      <w:tr w:rsidR="00F12FEB" w:rsidRPr="00AA5D8E"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F12FEB" w:rsidRPr="00AA5D8E" w:rsidRDefault="00F12FEB" w:rsidP="000E3D43">
            <w:pPr>
              <w:pStyle w:val="ListNumber"/>
              <w:tabs>
                <w:tab w:val="clear" w:pos="284"/>
              </w:tabs>
              <w:ind w:left="340" w:hanging="340"/>
              <w:jc w:val="left"/>
              <w:rPr>
                <w:b w:val="0"/>
                <w:i/>
                <w:sz w:val="16"/>
                <w:szCs w:val="16"/>
                <w:lang w:val="en-GB"/>
              </w:rPr>
            </w:pPr>
            <w:r w:rsidRPr="00AA5D8E">
              <w:rPr>
                <w:b w:val="0"/>
                <w:sz w:val="16"/>
                <w:szCs w:val="16"/>
                <w:lang w:val="en-GB"/>
              </w:rPr>
              <w:t>Is royalty paid by a company in your MS to a group member company in another MS or for utilization of IP tax deductible?</w:t>
            </w:r>
          </w:p>
        </w:tc>
        <w:tc>
          <w:tcPr>
            <w:tcW w:w="3933" w:type="dxa"/>
          </w:tcPr>
          <w:p w14:paraId="3DC7E51A" w14:textId="4306ABA7"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p>
        </w:tc>
      </w:tr>
      <w:tr w:rsidR="00F12FEB" w:rsidRPr="00AA5D8E"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F12FEB" w:rsidRPr="00AA5D8E" w:rsidRDefault="00F12FEB" w:rsidP="003A6F57">
            <w:pPr>
              <w:pStyle w:val="ListNumber"/>
              <w:tabs>
                <w:tab w:val="clear" w:pos="284"/>
              </w:tabs>
              <w:ind w:left="340" w:hanging="340"/>
              <w:jc w:val="left"/>
              <w:rPr>
                <w:b w:val="0"/>
                <w:sz w:val="16"/>
                <w:szCs w:val="16"/>
                <w:lang w:val="en-GB"/>
              </w:rPr>
            </w:pPr>
            <w:r w:rsidRPr="00AA5D8E">
              <w:rPr>
                <w:b w:val="0"/>
                <w:sz w:val="16"/>
                <w:szCs w:val="16"/>
                <w:lang w:val="en-GB"/>
              </w:rPr>
              <w:t>If yes to 28,</w:t>
            </w:r>
          </w:p>
        </w:tc>
        <w:tc>
          <w:tcPr>
            <w:tcW w:w="3933" w:type="dxa"/>
          </w:tcPr>
          <w:p w14:paraId="09464071" w14:textId="77777777" w:rsidR="00F12FEB"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12FEB" w:rsidRPr="00AA5D8E"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F12FEB" w:rsidRPr="00AA5D8E" w:rsidRDefault="00F12FEB" w:rsidP="000243B6">
            <w:pPr>
              <w:pStyle w:val="ListNumber"/>
              <w:numPr>
                <w:ilvl w:val="0"/>
                <w:numId w:val="28"/>
              </w:numPr>
              <w:jc w:val="left"/>
              <w:rPr>
                <w:b w:val="0"/>
                <w:sz w:val="16"/>
                <w:szCs w:val="16"/>
                <w:lang w:val="en-GB"/>
              </w:rPr>
            </w:pPr>
            <w:r w:rsidRPr="00AA5D8E">
              <w:rPr>
                <w:b w:val="0"/>
                <w:sz w:val="16"/>
                <w:szCs w:val="16"/>
                <w:lang w:val="en-GB"/>
              </w:rPr>
              <w:t xml:space="preserve">Is the tax deduction dependent on whether the royalty income is taxed in the hands of the IP-licensor/IP-owner? </w:t>
            </w:r>
          </w:p>
        </w:tc>
        <w:tc>
          <w:tcPr>
            <w:tcW w:w="3933" w:type="dxa"/>
          </w:tcPr>
          <w:p w14:paraId="1D5D7914" w14:textId="22F14E5F" w:rsidR="00F12FEB" w:rsidRPr="00AA5D8E" w:rsidRDefault="00733CB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r w:rsidR="00083E54" w:rsidRPr="00AA5D8E">
              <w:rPr>
                <w:color w:val="auto"/>
                <w:sz w:val="16"/>
                <w:szCs w:val="16"/>
                <w:lang w:val="en-GB"/>
              </w:rPr>
              <w:t>.</w:t>
            </w:r>
          </w:p>
        </w:tc>
      </w:tr>
      <w:tr w:rsidR="00F12FEB" w:rsidRPr="00AA5D8E"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F12FEB" w:rsidRPr="00AA5D8E" w:rsidRDefault="00F12FEB" w:rsidP="000243B6">
            <w:pPr>
              <w:pStyle w:val="ListNumber"/>
              <w:numPr>
                <w:ilvl w:val="0"/>
                <w:numId w:val="28"/>
              </w:numPr>
              <w:ind w:left="714" w:hanging="357"/>
              <w:jc w:val="left"/>
              <w:rPr>
                <w:b w:val="0"/>
                <w:sz w:val="16"/>
                <w:szCs w:val="16"/>
                <w:lang w:val="en-GB"/>
              </w:rPr>
            </w:pPr>
            <w:r w:rsidRPr="00AA5D8E">
              <w:rPr>
                <w:b w:val="0"/>
                <w:sz w:val="16"/>
                <w:szCs w:val="16"/>
                <w:lang w:val="en-GB"/>
              </w:rPr>
              <w:t>Are there types of royalty payments which cannot be deducted?</w:t>
            </w:r>
          </w:p>
        </w:tc>
        <w:tc>
          <w:tcPr>
            <w:tcW w:w="3933" w:type="dxa"/>
          </w:tcPr>
          <w:p w14:paraId="4C81640A" w14:textId="1E584E45" w:rsidR="00F12FEB" w:rsidRPr="00AA5D8E" w:rsidRDefault="00083E5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F12FEB" w:rsidRPr="00AA5D8E" w:rsidRDefault="00F12FEB" w:rsidP="009E71C6">
            <w:pPr>
              <w:pStyle w:val="ListNumber"/>
              <w:tabs>
                <w:tab w:val="clear" w:pos="284"/>
              </w:tabs>
              <w:ind w:left="340" w:hanging="340"/>
              <w:jc w:val="left"/>
              <w:rPr>
                <w:b w:val="0"/>
                <w:sz w:val="16"/>
                <w:szCs w:val="16"/>
                <w:lang w:val="en-GB"/>
              </w:rPr>
            </w:pPr>
            <w:r w:rsidRPr="00AA5D8E">
              <w:rPr>
                <w:b w:val="0"/>
                <w:sz w:val="16"/>
                <w:szCs w:val="16"/>
                <w:lang w:val="en-GB"/>
              </w:rPr>
              <w:t>Does your MS levy any withholding tax on royalty payments?</w:t>
            </w:r>
          </w:p>
        </w:tc>
        <w:tc>
          <w:tcPr>
            <w:tcW w:w="3933" w:type="dxa"/>
          </w:tcPr>
          <w:p w14:paraId="768129AB" w14:textId="71F404E6"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p>
        </w:tc>
      </w:tr>
      <w:tr w:rsidR="00F12FEB" w:rsidRPr="00AA5D8E"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F12FEB" w:rsidRPr="00AA5D8E" w:rsidRDefault="00F12FEB" w:rsidP="003A6F57">
            <w:pPr>
              <w:pStyle w:val="ListNumber"/>
              <w:tabs>
                <w:tab w:val="clear" w:pos="284"/>
              </w:tabs>
              <w:ind w:left="340" w:hanging="340"/>
              <w:jc w:val="left"/>
              <w:rPr>
                <w:b w:val="0"/>
                <w:sz w:val="16"/>
                <w:szCs w:val="16"/>
                <w:lang w:val="en-GB"/>
              </w:rPr>
            </w:pPr>
            <w:r w:rsidRPr="00AA5D8E">
              <w:rPr>
                <w:b w:val="0"/>
                <w:sz w:val="16"/>
                <w:szCs w:val="16"/>
                <w:lang w:val="en-GB"/>
              </w:rPr>
              <w:t>If yes to 30,</w:t>
            </w:r>
          </w:p>
        </w:tc>
        <w:tc>
          <w:tcPr>
            <w:tcW w:w="3933" w:type="dxa"/>
          </w:tcPr>
          <w:p w14:paraId="0D516FDB" w14:textId="77777777" w:rsidR="00F12FEB"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12FEB" w:rsidRPr="00AA5D8E"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F12FEB" w:rsidRPr="00AA5D8E" w:rsidRDefault="00F12FEB" w:rsidP="000243B6">
            <w:pPr>
              <w:pStyle w:val="ListNumber"/>
              <w:numPr>
                <w:ilvl w:val="0"/>
                <w:numId w:val="29"/>
              </w:numPr>
              <w:jc w:val="left"/>
              <w:rPr>
                <w:b w:val="0"/>
                <w:sz w:val="16"/>
                <w:szCs w:val="16"/>
                <w:lang w:val="en-GB"/>
              </w:rPr>
            </w:pPr>
            <w:r w:rsidRPr="00AA5D8E">
              <w:rPr>
                <w:b w:val="0"/>
                <w:sz w:val="16"/>
                <w:szCs w:val="16"/>
                <w:lang w:val="en-GB"/>
              </w:rPr>
              <w:t>What is the rate of withholding tax (ignoring tax treaties)?</w:t>
            </w:r>
          </w:p>
        </w:tc>
        <w:tc>
          <w:tcPr>
            <w:tcW w:w="3933" w:type="dxa"/>
          </w:tcPr>
          <w:p w14:paraId="4593399B" w14:textId="23882200" w:rsidR="00F12FEB" w:rsidRPr="00AA5D8E" w:rsidRDefault="00F12FEB" w:rsidP="00E30EB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 xml:space="preserve">25 % </w:t>
            </w:r>
          </w:p>
        </w:tc>
      </w:tr>
      <w:tr w:rsidR="00F12FEB" w:rsidRPr="00AA5D8E"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F12FEB" w:rsidRPr="00AA5D8E" w:rsidRDefault="00F12FEB" w:rsidP="00117D22">
            <w:pPr>
              <w:pStyle w:val="ListNumber"/>
              <w:numPr>
                <w:ilvl w:val="0"/>
                <w:numId w:val="29"/>
              </w:numPr>
              <w:jc w:val="left"/>
              <w:rPr>
                <w:b w:val="0"/>
                <w:sz w:val="16"/>
                <w:szCs w:val="16"/>
                <w:lang w:val="en-GB"/>
              </w:rPr>
            </w:pPr>
            <w:r w:rsidRPr="00AA5D8E">
              <w:rPr>
                <w:b w:val="0"/>
                <w:sz w:val="16"/>
                <w:szCs w:val="16"/>
                <w:lang w:val="en-GB"/>
              </w:rPr>
              <w:t>Are there types of royalty payments which are not subject to withholding tax?</w:t>
            </w:r>
          </w:p>
        </w:tc>
        <w:tc>
          <w:tcPr>
            <w:tcW w:w="3933" w:type="dxa"/>
          </w:tcPr>
          <w:p w14:paraId="7F51E7F1" w14:textId="7FEDBE22" w:rsidR="00F12FEB" w:rsidRPr="00AA5D8E" w:rsidRDefault="00C045D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 No withholding tax applies</w:t>
            </w:r>
            <w:r w:rsidR="00F12FEB" w:rsidRPr="00AA5D8E">
              <w:rPr>
                <w:color w:val="auto"/>
                <w:sz w:val="16"/>
                <w:szCs w:val="16"/>
                <w:lang w:val="en-GB"/>
              </w:rPr>
              <w:t xml:space="preserve"> on </w:t>
            </w:r>
            <w:r w:rsidR="00F12FEB" w:rsidRPr="00AA5D8E">
              <w:rPr>
                <w:rFonts w:cs="Arial"/>
                <w:color w:val="auto"/>
                <w:sz w:val="16"/>
                <w:szCs w:val="16"/>
                <w:shd w:val="clear" w:color="auto" w:fill="FFFFFF"/>
                <w:lang w:val="en-GB"/>
              </w:rPr>
              <w:t>royalty payments to associated EU companies</w:t>
            </w:r>
            <w:r w:rsidR="009C4A2E" w:rsidRPr="00AA5D8E">
              <w:rPr>
                <w:rStyle w:val="apple-converted-space"/>
                <w:rFonts w:cs="Arial"/>
                <w:color w:val="auto"/>
                <w:sz w:val="16"/>
                <w:szCs w:val="16"/>
                <w:shd w:val="clear" w:color="auto" w:fill="FFFFFF"/>
                <w:lang w:val="en-GB"/>
              </w:rPr>
              <w:t xml:space="preserve"> under the EU Interest and Royalties Directive</w:t>
            </w:r>
            <w:r w:rsidR="0046274B" w:rsidRPr="00AA5D8E">
              <w:rPr>
                <w:rStyle w:val="apple-converted-space"/>
                <w:rFonts w:cs="Arial"/>
                <w:color w:val="auto"/>
                <w:sz w:val="16"/>
                <w:szCs w:val="16"/>
                <w:shd w:val="clear" w:color="auto" w:fill="FFFFFF"/>
                <w:lang w:val="en-GB"/>
              </w:rPr>
              <w:t xml:space="preserve"> </w:t>
            </w:r>
            <w:r w:rsidR="00E30EB9" w:rsidRPr="00AA5D8E">
              <w:rPr>
                <w:rStyle w:val="apple-converted-space"/>
                <w:rFonts w:cs="Arial"/>
                <w:color w:val="auto"/>
                <w:sz w:val="16"/>
                <w:szCs w:val="16"/>
                <w:shd w:val="clear" w:color="auto" w:fill="FFFFFF"/>
                <w:lang w:val="en-GB"/>
              </w:rPr>
              <w:t>(see article 14 para. 12 and article 98 CIRC).</w:t>
            </w:r>
          </w:p>
        </w:tc>
      </w:tr>
      <w:tr w:rsidR="00F12FEB" w:rsidRPr="00AA5D8E"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F12FEB" w:rsidRPr="00AA5D8E" w:rsidRDefault="00F12FEB" w:rsidP="000243B6">
            <w:pPr>
              <w:pStyle w:val="ListNumber"/>
              <w:numPr>
                <w:ilvl w:val="0"/>
                <w:numId w:val="29"/>
              </w:numPr>
              <w:jc w:val="left"/>
              <w:rPr>
                <w:b w:val="0"/>
                <w:sz w:val="16"/>
                <w:szCs w:val="16"/>
                <w:lang w:val="en-GB"/>
              </w:rPr>
            </w:pPr>
            <w:r w:rsidRPr="00AA5D8E">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6CCECD62" w:rsidR="00F12FEB" w:rsidRPr="00AA5D8E" w:rsidRDefault="00D03F70" w:rsidP="00E30EB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 xml:space="preserve">Yes </w:t>
            </w:r>
            <w:r w:rsidR="00E30EB9" w:rsidRPr="00AA5D8E">
              <w:rPr>
                <w:color w:val="auto"/>
                <w:sz w:val="16"/>
                <w:szCs w:val="16"/>
                <w:lang w:val="en-GB"/>
              </w:rPr>
              <w:t>(see- article 14 para. 13 to 15 and article 98 para. 2 of CIRC).</w:t>
            </w:r>
          </w:p>
        </w:tc>
      </w:tr>
      <w:tr w:rsidR="00F12FEB" w:rsidRPr="00AA5D8E"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F12FEB" w:rsidRPr="00AA5D8E" w:rsidRDefault="00F12FEB" w:rsidP="000243B6">
            <w:pPr>
              <w:pStyle w:val="ListNumber"/>
              <w:numPr>
                <w:ilvl w:val="0"/>
                <w:numId w:val="29"/>
              </w:numPr>
              <w:jc w:val="left"/>
              <w:rPr>
                <w:b w:val="0"/>
                <w:sz w:val="16"/>
                <w:szCs w:val="16"/>
                <w:lang w:val="en-GB"/>
              </w:rPr>
            </w:pPr>
            <w:r w:rsidRPr="00AA5D8E">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37C2DD8E" w:rsidR="00F12FEB" w:rsidRPr="00AA5D8E" w:rsidRDefault="002333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 Royalties payments must be justified or explained under art. 98, para. 2, b), number 6 of the CIRC.</w:t>
            </w:r>
            <w:r w:rsidR="00483B97" w:rsidRPr="00AA5D8E">
              <w:rPr>
                <w:color w:val="auto"/>
                <w:sz w:val="16"/>
                <w:szCs w:val="16"/>
                <w:lang w:val="en-GB"/>
              </w:rPr>
              <w:t xml:space="preserve"> This additional test remains to be tested by the Portuguese tax courts and, so far, no ruling or official interpretation of Portuguese tax authorities has been published on this matter.</w:t>
            </w:r>
          </w:p>
        </w:tc>
      </w:tr>
      <w:tr w:rsidR="00F12FEB" w:rsidRPr="00AA5D8E"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F12FEB" w:rsidRPr="00AA5D8E" w:rsidRDefault="00F12FEB" w:rsidP="00427661">
            <w:pPr>
              <w:rPr>
                <w:lang w:val="en-GB"/>
              </w:rPr>
            </w:pPr>
            <w:r w:rsidRPr="00AA5D8E">
              <w:rPr>
                <w:i/>
                <w:sz w:val="16"/>
                <w:szCs w:val="16"/>
                <w:lang w:val="en-GB"/>
              </w:rPr>
              <w:t>Group taxation</w:t>
            </w:r>
          </w:p>
        </w:tc>
      </w:tr>
      <w:tr w:rsidR="00F12FEB" w:rsidRPr="00AA5D8E"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F12FEB" w:rsidRPr="00AA5D8E" w:rsidRDefault="00F12FEB" w:rsidP="009E71C6">
            <w:pPr>
              <w:pStyle w:val="ListNumber"/>
              <w:tabs>
                <w:tab w:val="clear" w:pos="284"/>
              </w:tabs>
              <w:ind w:left="340" w:hanging="340"/>
              <w:jc w:val="left"/>
              <w:rPr>
                <w:b w:val="0"/>
                <w:i/>
                <w:sz w:val="16"/>
                <w:szCs w:val="16"/>
                <w:lang w:val="en-GB"/>
              </w:rPr>
            </w:pPr>
            <w:r w:rsidRPr="00AA5D8E">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2FAA51D2"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w:t>
            </w:r>
          </w:p>
          <w:p w14:paraId="3411BED4"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7D2A72E" w14:textId="6BAD9470" w:rsidR="00F12FEB" w:rsidRPr="00AA5D8E" w:rsidRDefault="00A568DE" w:rsidP="00F12FEB">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AA5D8E">
              <w:rPr>
                <w:rFonts w:cs="Arial"/>
                <w:color w:val="auto"/>
                <w:sz w:val="16"/>
                <w:szCs w:val="16"/>
                <w:shd w:val="clear" w:color="auto" w:fill="FFFFFF"/>
                <w:lang w:val="en-GB"/>
              </w:rPr>
              <w:t xml:space="preserve">A qualifying group </w:t>
            </w:r>
            <w:r w:rsidR="00F12FEB" w:rsidRPr="00AA5D8E">
              <w:rPr>
                <w:rFonts w:cs="Arial"/>
                <w:color w:val="auto"/>
                <w:sz w:val="16"/>
                <w:szCs w:val="16"/>
                <w:shd w:val="clear" w:color="auto" w:fill="FFFFFF"/>
                <w:lang w:val="en-GB"/>
              </w:rPr>
              <w:t>consists of a dominant company (the parent) and one or several 75% or more directly or indirectly held subsidiaries, provided that such holding (i) confers on the parent more than 50% of the voting rights and (ii) is maintained by the parent (except in the case of a newly formed subsidiary) for more than 1 year prior to the ap</w:t>
            </w:r>
            <w:r w:rsidR="00914B8D" w:rsidRPr="00AA5D8E">
              <w:rPr>
                <w:rFonts w:cs="Arial"/>
                <w:color w:val="auto"/>
                <w:sz w:val="16"/>
                <w:szCs w:val="16"/>
                <w:shd w:val="clear" w:color="auto" w:fill="FFFFFF"/>
                <w:lang w:val="en-GB"/>
              </w:rPr>
              <w:t>plication of the special regime (see art. 69 CIRC).</w:t>
            </w:r>
          </w:p>
          <w:p w14:paraId="57645338"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ED97E6F" w14:textId="11D5BEED"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AA5D8E">
              <w:rPr>
                <w:rFonts w:cs="Arial"/>
                <w:color w:val="auto"/>
                <w:sz w:val="16"/>
                <w:szCs w:val="16"/>
                <w:shd w:val="clear" w:color="auto" w:fill="FFFFFF"/>
                <w:lang w:val="en-GB"/>
              </w:rPr>
              <w:t>A qualifying group of companies can also have a parent company which is resident in the</w:t>
            </w:r>
            <w:r w:rsidR="00A568DE" w:rsidRPr="00AA5D8E">
              <w:rPr>
                <w:rFonts w:cs="Arial"/>
                <w:color w:val="auto"/>
                <w:sz w:val="16"/>
                <w:szCs w:val="16"/>
                <w:shd w:val="clear" w:color="auto" w:fill="FFFFFF"/>
                <w:lang w:val="en-GB"/>
              </w:rPr>
              <w:t xml:space="preserve"> EU or</w:t>
            </w:r>
            <w:r w:rsidRPr="00AA5D8E">
              <w:rPr>
                <w:rFonts w:cs="Arial"/>
                <w:color w:val="auto"/>
                <w:sz w:val="16"/>
                <w:szCs w:val="16"/>
                <w:shd w:val="clear" w:color="auto" w:fill="FFFFFF"/>
                <w:lang w:val="en-GB"/>
              </w:rPr>
              <w:t xml:space="preserve"> EEA (and bound by an exchange of information mechanism equivalent to that which exists within the European Union), provided the required shareholding in the controlled subsidiaries is held by a Portuguese permanent establishment of the non-resident par</w:t>
            </w:r>
            <w:r w:rsidR="00914B8D" w:rsidRPr="00AA5D8E">
              <w:rPr>
                <w:rFonts w:cs="Arial"/>
                <w:color w:val="auto"/>
                <w:sz w:val="16"/>
                <w:szCs w:val="16"/>
                <w:shd w:val="clear" w:color="auto" w:fill="FFFFFF"/>
                <w:lang w:val="en-GB"/>
              </w:rPr>
              <w:t>ent company (see art. 69-A CIRC).</w:t>
            </w:r>
          </w:p>
          <w:p w14:paraId="38D4422A" w14:textId="77777777"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7E382ADA" w14:textId="1E0B9ECF" w:rsidR="00F12FEB"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rFonts w:cs="Arial"/>
                <w:color w:val="auto"/>
                <w:sz w:val="16"/>
                <w:szCs w:val="16"/>
                <w:shd w:val="clear" w:color="auto" w:fill="FFFFFF"/>
                <w:lang w:val="en-GB"/>
              </w:rPr>
              <w:t xml:space="preserve">The special group taxation regime means that the profits of the parent company are computed for tax purposes on the basis of the sum of the </w:t>
            </w:r>
            <w:r w:rsidR="003B3CD1" w:rsidRPr="00AA5D8E">
              <w:rPr>
                <w:rFonts w:cs="Arial"/>
                <w:bCs/>
                <w:color w:val="auto"/>
                <w:sz w:val="16"/>
                <w:szCs w:val="16"/>
                <w:shd w:val="clear" w:color="auto" w:fill="FFFFFF"/>
                <w:lang w:val="en-GB"/>
              </w:rPr>
              <w:t>individual</w:t>
            </w:r>
            <w:r w:rsidR="003B3CD1" w:rsidRPr="00AA5D8E">
              <w:rPr>
                <w:rFonts w:cs="Arial"/>
                <w:b/>
                <w:bCs/>
                <w:color w:val="auto"/>
                <w:sz w:val="16"/>
                <w:szCs w:val="16"/>
                <w:shd w:val="clear" w:color="auto" w:fill="FFFFFF"/>
                <w:lang w:val="en-GB"/>
              </w:rPr>
              <w:t xml:space="preserve"> </w:t>
            </w:r>
            <w:r w:rsidRPr="00AA5D8E">
              <w:rPr>
                <w:rFonts w:cs="Arial"/>
                <w:color w:val="auto"/>
                <w:sz w:val="16"/>
                <w:szCs w:val="16"/>
                <w:shd w:val="clear" w:color="auto" w:fill="FFFFFF"/>
                <w:lang w:val="en-GB"/>
              </w:rPr>
              <w:t xml:space="preserve">taxable profits and </w:t>
            </w:r>
            <w:r w:rsidR="003B3CD1" w:rsidRPr="00AA5D8E">
              <w:rPr>
                <w:rFonts w:cs="Arial"/>
                <w:bCs/>
                <w:color w:val="auto"/>
                <w:sz w:val="16"/>
                <w:szCs w:val="16"/>
                <w:shd w:val="clear" w:color="auto" w:fill="FFFFFF"/>
                <w:lang w:val="en-GB"/>
              </w:rPr>
              <w:t>individual</w:t>
            </w:r>
            <w:r w:rsidR="003B3CD1" w:rsidRPr="00AA5D8E">
              <w:rPr>
                <w:rFonts w:cs="Arial"/>
                <w:b/>
                <w:bCs/>
                <w:color w:val="auto"/>
                <w:sz w:val="16"/>
                <w:szCs w:val="16"/>
                <w:shd w:val="clear" w:color="auto" w:fill="FFFFFF"/>
                <w:lang w:val="en-GB"/>
              </w:rPr>
              <w:t xml:space="preserve"> </w:t>
            </w:r>
            <w:r w:rsidRPr="00AA5D8E">
              <w:rPr>
                <w:rFonts w:cs="Arial"/>
                <w:color w:val="auto"/>
                <w:sz w:val="16"/>
                <w:szCs w:val="16"/>
                <w:shd w:val="clear" w:color="auto" w:fill="FFFFFF"/>
                <w:lang w:val="en-GB"/>
              </w:rPr>
              <w:t>tax losses as determined in the returns of each of the companies belonging to the group</w:t>
            </w:r>
            <w:r w:rsidR="00914B8D" w:rsidRPr="00AA5D8E">
              <w:rPr>
                <w:rFonts w:cs="Arial"/>
                <w:color w:val="auto"/>
                <w:sz w:val="16"/>
                <w:szCs w:val="16"/>
                <w:shd w:val="clear" w:color="auto" w:fill="FFFFFF"/>
                <w:lang w:val="en-GB"/>
              </w:rPr>
              <w:t xml:space="preserve"> (see art. 70 CIRC).</w:t>
            </w:r>
          </w:p>
        </w:tc>
      </w:tr>
      <w:tr w:rsidR="00F12FEB" w:rsidRPr="00AA5D8E"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F12FEB" w:rsidRPr="00AA5D8E" w:rsidRDefault="00F12FEB" w:rsidP="003A6F57">
            <w:pPr>
              <w:pStyle w:val="ListNumber"/>
              <w:tabs>
                <w:tab w:val="clear" w:pos="284"/>
              </w:tabs>
              <w:ind w:left="340" w:hanging="340"/>
              <w:jc w:val="left"/>
              <w:rPr>
                <w:b w:val="0"/>
                <w:sz w:val="16"/>
                <w:szCs w:val="16"/>
                <w:lang w:val="en-GB"/>
              </w:rPr>
            </w:pPr>
            <w:r w:rsidRPr="00AA5D8E">
              <w:rPr>
                <w:b w:val="0"/>
                <w:sz w:val="16"/>
                <w:szCs w:val="16"/>
                <w:lang w:val="en-GB"/>
              </w:rPr>
              <w:t xml:space="preserve">If yes to 32, is group taxation restricted in situations where a (holding) company has solely been inserted in connection with a leveraged acquisition of the operating company (so-called debt push-down)? When responding, please consider Model ATP-Structures no. </w:t>
            </w:r>
            <w:r w:rsidRPr="00AA5D8E">
              <w:rPr>
                <w:b w:val="0"/>
                <w:sz w:val="16"/>
                <w:szCs w:val="16"/>
                <w:lang w:val="en-GB"/>
              </w:rPr>
              <w:lastRenderedPageBreak/>
              <w:t>1 – 3 and assume that C Holdco and B Hybrid are tax resident in your MS.</w:t>
            </w:r>
          </w:p>
        </w:tc>
        <w:tc>
          <w:tcPr>
            <w:tcW w:w="3933" w:type="dxa"/>
          </w:tcPr>
          <w:p w14:paraId="0E152620" w14:textId="1638C770" w:rsidR="00F12FEB" w:rsidRPr="00AA5D8E" w:rsidRDefault="00682CF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lastRenderedPageBreak/>
              <w:t>No. See however interest limitations</w:t>
            </w:r>
            <w:r w:rsidR="00996918" w:rsidRPr="00AA5D8E">
              <w:rPr>
                <w:color w:val="auto"/>
                <w:sz w:val="16"/>
                <w:szCs w:val="16"/>
                <w:lang w:val="en-GB"/>
              </w:rPr>
              <w:t xml:space="preserve"> rules</w:t>
            </w:r>
            <w:r w:rsidRPr="00AA5D8E">
              <w:rPr>
                <w:color w:val="auto"/>
                <w:sz w:val="16"/>
                <w:szCs w:val="16"/>
                <w:lang w:val="en-GB"/>
              </w:rPr>
              <w:t xml:space="preserve"> explained in question</w:t>
            </w:r>
            <w:r w:rsidR="005B48B1" w:rsidRPr="00AA5D8E">
              <w:rPr>
                <w:color w:val="auto"/>
                <w:sz w:val="16"/>
                <w:szCs w:val="16"/>
                <w:lang w:val="en-GB"/>
              </w:rPr>
              <w:t>s</w:t>
            </w:r>
            <w:r w:rsidRPr="00AA5D8E">
              <w:rPr>
                <w:color w:val="auto"/>
                <w:sz w:val="16"/>
                <w:szCs w:val="16"/>
                <w:lang w:val="en-GB"/>
              </w:rPr>
              <w:t xml:space="preserve"> 13</w:t>
            </w:r>
            <w:r w:rsidR="005B48B1" w:rsidRPr="00AA5D8E">
              <w:rPr>
                <w:color w:val="auto"/>
                <w:sz w:val="16"/>
                <w:szCs w:val="16"/>
                <w:lang w:val="en-GB"/>
              </w:rPr>
              <w:t xml:space="preserve"> and 16.</w:t>
            </w:r>
          </w:p>
        </w:tc>
      </w:tr>
      <w:tr w:rsidR="00F12FEB" w:rsidRPr="00AA5D8E"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F12FEB" w:rsidRPr="00AA5D8E" w:rsidRDefault="00F12FEB" w:rsidP="00427661">
            <w:pPr>
              <w:rPr>
                <w:lang w:val="en-GB"/>
              </w:rPr>
            </w:pPr>
            <w:r w:rsidRPr="00AA5D8E">
              <w:rPr>
                <w:i/>
                <w:sz w:val="16"/>
                <w:szCs w:val="16"/>
                <w:lang w:val="en-GB"/>
              </w:rPr>
              <w:lastRenderedPageBreak/>
              <w:t>CFC rules</w:t>
            </w:r>
          </w:p>
        </w:tc>
      </w:tr>
      <w:tr w:rsidR="00F12FEB" w:rsidRPr="00AA5D8E"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F12FEB" w:rsidRPr="00AA5D8E" w:rsidRDefault="00F12FEB" w:rsidP="009E71C6">
            <w:pPr>
              <w:pStyle w:val="ListNumber"/>
              <w:tabs>
                <w:tab w:val="clear" w:pos="284"/>
              </w:tabs>
              <w:ind w:left="340" w:hanging="340"/>
              <w:jc w:val="left"/>
              <w:rPr>
                <w:b w:val="0"/>
                <w:i/>
                <w:sz w:val="16"/>
                <w:szCs w:val="16"/>
                <w:lang w:val="en-GB"/>
              </w:rPr>
            </w:pPr>
            <w:r w:rsidRPr="00AA5D8E">
              <w:rPr>
                <w:b w:val="0"/>
                <w:sz w:val="16"/>
                <w:szCs w:val="16"/>
                <w:lang w:val="en-GB"/>
              </w:rPr>
              <w:t>Does your MS apply CFC rules to foreign subsidiaries of a parent company in your MS?</w:t>
            </w:r>
          </w:p>
        </w:tc>
        <w:tc>
          <w:tcPr>
            <w:tcW w:w="3933" w:type="dxa"/>
          </w:tcPr>
          <w:p w14:paraId="76C89E00" w14:textId="779198C8" w:rsidR="00F12FEB" w:rsidRPr="00AA5D8E" w:rsidRDefault="00F12FE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r w:rsidR="00F47B08" w:rsidRPr="00AA5D8E">
              <w:rPr>
                <w:color w:val="auto"/>
                <w:sz w:val="16"/>
                <w:szCs w:val="16"/>
                <w:lang w:val="en-GB"/>
              </w:rPr>
              <w:t xml:space="preserve"> See art. 66 CIRC.</w:t>
            </w:r>
          </w:p>
        </w:tc>
      </w:tr>
      <w:tr w:rsidR="00F12FEB" w:rsidRPr="00AA5D8E"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F12FEB" w:rsidRPr="00AA5D8E" w:rsidRDefault="00F12FEB" w:rsidP="003A6F57">
            <w:pPr>
              <w:pStyle w:val="ListNumber"/>
              <w:tabs>
                <w:tab w:val="clear" w:pos="284"/>
              </w:tabs>
              <w:ind w:left="340" w:hanging="340"/>
              <w:jc w:val="left"/>
              <w:rPr>
                <w:b w:val="0"/>
                <w:sz w:val="16"/>
                <w:szCs w:val="16"/>
                <w:lang w:val="en-GB"/>
              </w:rPr>
            </w:pPr>
            <w:r w:rsidRPr="00AA5D8E">
              <w:rPr>
                <w:b w:val="0"/>
                <w:sz w:val="16"/>
                <w:szCs w:val="16"/>
                <w:lang w:val="en-GB"/>
              </w:rPr>
              <w:t>If yes to 34, please briefly explain the rules and their scope.</w:t>
            </w:r>
          </w:p>
        </w:tc>
        <w:tc>
          <w:tcPr>
            <w:tcW w:w="3933" w:type="dxa"/>
          </w:tcPr>
          <w:p w14:paraId="70408B82" w14:textId="1858DB54" w:rsidR="00F12FEB" w:rsidRPr="00AA5D8E" w:rsidRDefault="00F12FEB" w:rsidP="00F12FE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AA5D8E">
              <w:rPr>
                <w:rFonts w:cs="Arial"/>
                <w:color w:val="auto"/>
                <w:sz w:val="16"/>
                <w:szCs w:val="16"/>
                <w:lang w:val="en-GB"/>
              </w:rPr>
              <w:t xml:space="preserve">Under the CFC regime, profits of </w:t>
            </w:r>
            <w:r w:rsidR="003B3CD1" w:rsidRPr="00AA5D8E">
              <w:rPr>
                <w:rFonts w:cs="Arial"/>
                <w:color w:val="auto"/>
                <w:sz w:val="16"/>
                <w:szCs w:val="16"/>
                <w:lang w:val="en-GB"/>
              </w:rPr>
              <w:t xml:space="preserve">or income obtained by non-resident entities that are clearly subject to a more favorable tax regime are imputed to </w:t>
            </w:r>
            <w:r w:rsidRPr="00AA5D8E">
              <w:rPr>
                <w:rFonts w:cs="Arial"/>
                <w:color w:val="auto"/>
                <w:sz w:val="16"/>
                <w:szCs w:val="16"/>
                <w:lang w:val="en-GB"/>
              </w:rPr>
              <w:t>the individual or corporate participators having a, direct or indirect substantial interest therein, and taxed in their hands in proportion to their holdings (article 66 of the</w:t>
            </w:r>
            <w:r w:rsidRPr="00AA5D8E">
              <w:rPr>
                <w:rStyle w:val="apple-converted-space"/>
                <w:rFonts w:cs="Arial"/>
                <w:color w:val="auto"/>
                <w:sz w:val="16"/>
                <w:szCs w:val="16"/>
                <w:lang w:val="en-GB"/>
              </w:rPr>
              <w:t> </w:t>
            </w:r>
            <w:hyperlink r:id="rId15" w:tooltip="Código do Imposto sobre o Rendimento das Pessoas Colectivas (Corporate Income Tax Code)" w:history="1">
              <w:r w:rsidRPr="00AA5D8E">
                <w:rPr>
                  <w:rStyle w:val="Hyperlink"/>
                  <w:rFonts w:cs="Arial"/>
                  <w:color w:val="auto"/>
                  <w:sz w:val="16"/>
                  <w:szCs w:val="16"/>
                  <w:lang w:val="en-GB"/>
                </w:rPr>
                <w:t>CIRC</w:t>
              </w:r>
            </w:hyperlink>
            <w:r w:rsidRPr="00AA5D8E">
              <w:rPr>
                <w:rFonts w:cs="Arial"/>
                <w:color w:val="auto"/>
                <w:sz w:val="16"/>
                <w:szCs w:val="16"/>
                <w:lang w:val="en-GB"/>
              </w:rPr>
              <w:t>).</w:t>
            </w:r>
          </w:p>
          <w:p w14:paraId="7734DACE" w14:textId="77777777" w:rsidR="00F12FEB" w:rsidRPr="00AA5D8E" w:rsidRDefault="00F12FEB" w:rsidP="00F12FE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4152B554" w14:textId="00C3D56E" w:rsidR="00F12FEB" w:rsidRPr="00AA5D8E" w:rsidRDefault="00F12FEB" w:rsidP="00F12FE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AA5D8E">
              <w:rPr>
                <w:rFonts w:cs="Arial"/>
                <w:color w:val="auto"/>
                <w:sz w:val="16"/>
                <w:szCs w:val="16"/>
                <w:lang w:val="en-GB"/>
              </w:rPr>
              <w:t xml:space="preserve">For the purposes of the CFC regime, a company is deemed to </w:t>
            </w:r>
            <w:r w:rsidR="003B3CD1" w:rsidRPr="00AA5D8E">
              <w:rPr>
                <w:rFonts w:cs="Arial"/>
                <w:color w:val="auto"/>
                <w:sz w:val="16"/>
                <w:szCs w:val="16"/>
                <w:lang w:val="en-GB"/>
              </w:rPr>
              <w:t>be clearly subject to a more favorable tax regime</w:t>
            </w:r>
            <w:r w:rsidRPr="00AA5D8E">
              <w:rPr>
                <w:rFonts w:cs="Arial"/>
                <w:color w:val="auto"/>
                <w:sz w:val="16"/>
                <w:szCs w:val="16"/>
                <w:lang w:val="en-GB"/>
              </w:rPr>
              <w:t>,</w:t>
            </w:r>
            <w:r w:rsidR="00636DBC" w:rsidRPr="00AA5D8E">
              <w:rPr>
                <w:rFonts w:cs="Arial"/>
                <w:color w:val="auto"/>
                <w:sz w:val="16"/>
                <w:szCs w:val="16"/>
                <w:lang w:val="en-GB"/>
              </w:rPr>
              <w:t xml:space="preserve"> if its residence territory is in a</w:t>
            </w:r>
            <w:r w:rsidRPr="00AA5D8E">
              <w:rPr>
                <w:rFonts w:cs="Arial"/>
                <w:color w:val="auto"/>
                <w:sz w:val="16"/>
                <w:szCs w:val="16"/>
                <w:lang w:val="en-GB"/>
              </w:rPr>
              <w:t xml:space="preserve"> </w:t>
            </w:r>
            <w:r w:rsidR="003B3CD1" w:rsidRPr="00AA5D8E">
              <w:rPr>
                <w:rFonts w:cs="Arial"/>
                <w:color w:val="auto"/>
                <w:sz w:val="16"/>
                <w:szCs w:val="16"/>
                <w:lang w:val="en-GB"/>
              </w:rPr>
              <w:t xml:space="preserve">black </w:t>
            </w:r>
            <w:r w:rsidRPr="00AA5D8E">
              <w:rPr>
                <w:rFonts w:cs="Arial"/>
                <w:color w:val="auto"/>
                <w:sz w:val="16"/>
                <w:szCs w:val="16"/>
                <w:lang w:val="en-GB"/>
              </w:rPr>
              <w:t xml:space="preserve">listed </w:t>
            </w:r>
            <w:r w:rsidR="003B3CD1" w:rsidRPr="00AA5D8E">
              <w:rPr>
                <w:rFonts w:cs="Arial"/>
                <w:color w:val="auto"/>
                <w:sz w:val="16"/>
                <w:szCs w:val="16"/>
                <w:lang w:val="en-GB"/>
              </w:rPr>
              <w:t xml:space="preserve">jurisdiction </w:t>
            </w:r>
            <w:r w:rsidRPr="00AA5D8E">
              <w:rPr>
                <w:rFonts w:cs="Arial"/>
                <w:color w:val="auto"/>
                <w:sz w:val="16"/>
                <w:szCs w:val="16"/>
                <w:lang w:val="en-GB"/>
              </w:rPr>
              <w:t>tax haven or</w:t>
            </w:r>
            <w:r w:rsidR="00636DBC" w:rsidRPr="00AA5D8E">
              <w:rPr>
                <w:rFonts w:cs="Arial"/>
                <w:color w:val="auto"/>
                <w:sz w:val="16"/>
                <w:szCs w:val="16"/>
                <w:lang w:val="en-GB"/>
              </w:rPr>
              <w:t xml:space="preserve"> in</w:t>
            </w:r>
            <w:r w:rsidRPr="00AA5D8E">
              <w:rPr>
                <w:rFonts w:cs="Arial"/>
                <w:color w:val="auto"/>
                <w:sz w:val="16"/>
                <w:szCs w:val="16"/>
                <w:lang w:val="en-GB"/>
              </w:rPr>
              <w:t xml:space="preserve"> a jurisdiction in which the company is not subject to tax at all or where the tax </w:t>
            </w:r>
            <w:r w:rsidR="003B3CD1" w:rsidRPr="00AA5D8E">
              <w:rPr>
                <w:rFonts w:cs="Arial"/>
                <w:color w:val="auto"/>
                <w:sz w:val="16"/>
                <w:szCs w:val="16"/>
                <w:lang w:val="en-GB"/>
              </w:rPr>
              <w:t>rate applicable is less than 60% of the tax rate that would be applicable</w:t>
            </w:r>
            <w:r w:rsidRPr="00AA5D8E">
              <w:rPr>
                <w:rFonts w:cs="Arial"/>
                <w:color w:val="auto"/>
                <w:sz w:val="16"/>
                <w:szCs w:val="16"/>
                <w:lang w:val="en-GB"/>
              </w:rPr>
              <w:t>, if the company was resident in Portugal</w:t>
            </w:r>
            <w:r w:rsidR="003B3CD1" w:rsidRPr="00AA5D8E">
              <w:rPr>
                <w:rFonts w:cs="Arial"/>
                <w:color w:val="auto"/>
                <w:sz w:val="16"/>
                <w:szCs w:val="16"/>
                <w:lang w:val="en-GB"/>
              </w:rPr>
              <w:t xml:space="preserve"> </w:t>
            </w:r>
            <w:r w:rsidR="003B3CD1" w:rsidRPr="00AA5D8E">
              <w:rPr>
                <w:color w:val="auto"/>
                <w:sz w:val="16"/>
                <w:szCs w:val="16"/>
                <w:lang w:val="en-GB"/>
              </w:rPr>
              <w:t>(i.e. 12,6%)</w:t>
            </w:r>
            <w:r w:rsidR="003B3CD1" w:rsidRPr="00AA5D8E">
              <w:rPr>
                <w:rFonts w:cs="Arial"/>
                <w:color w:val="auto"/>
                <w:sz w:val="16"/>
                <w:szCs w:val="16"/>
                <w:lang w:val="en-GB"/>
              </w:rPr>
              <w:t>.</w:t>
            </w:r>
            <w:r w:rsidR="003B3CD1" w:rsidRPr="00AA5D8E" w:rsidDel="003B3CD1">
              <w:rPr>
                <w:rFonts w:cs="Arial"/>
                <w:color w:val="auto"/>
                <w:sz w:val="16"/>
                <w:szCs w:val="16"/>
                <w:lang w:val="en-GB"/>
              </w:rPr>
              <w:t xml:space="preserve"> </w:t>
            </w:r>
          </w:p>
          <w:p w14:paraId="1D0323F2" w14:textId="351906BD" w:rsidR="00F12FEB" w:rsidRPr="00AA5D8E" w:rsidRDefault="00F12FEB" w:rsidP="00F12FE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AA5D8E">
              <w:rPr>
                <w:rFonts w:cs="Arial"/>
                <w:color w:val="auto"/>
                <w:sz w:val="16"/>
                <w:szCs w:val="16"/>
                <w:lang w:val="en-GB"/>
              </w:rPr>
              <w:t>A resident participator is deemed to have a substantial participation in a non-resident company if it owns (directly or indirectly)</w:t>
            </w:r>
            <w:r w:rsidR="003B3CD1" w:rsidRPr="00AA5D8E">
              <w:rPr>
                <w:rFonts w:cs="Arial"/>
                <w:color w:val="auto"/>
                <w:sz w:val="16"/>
                <w:szCs w:val="16"/>
                <w:lang w:val="en-GB"/>
              </w:rPr>
              <w:t xml:space="preserve"> , even if through a representative, fiduciary or intermediary)</w:t>
            </w:r>
            <w:r w:rsidRPr="00AA5D8E">
              <w:rPr>
                <w:rFonts w:cs="Arial"/>
                <w:color w:val="auto"/>
                <w:sz w:val="16"/>
                <w:szCs w:val="16"/>
                <w:lang w:val="en-GB"/>
              </w:rPr>
              <w:t>:</w:t>
            </w:r>
          </w:p>
          <w:p w14:paraId="0A00C037" w14:textId="724E670A" w:rsidR="00F12FEB" w:rsidRPr="00AA5D8E" w:rsidRDefault="00F12FEB" w:rsidP="00F12FEB">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AA5D8E">
              <w:rPr>
                <w:rFonts w:cs="Arial"/>
                <w:color w:val="auto"/>
                <w:sz w:val="16"/>
                <w:szCs w:val="16"/>
                <w:lang w:val="en-GB"/>
              </w:rPr>
              <w:t>25% or more of its capital</w:t>
            </w:r>
            <w:r w:rsidR="003B3CD1" w:rsidRPr="00AA5D8E">
              <w:rPr>
                <w:rFonts w:eastAsia="Times New Roman" w:cs="Arial"/>
                <w:color w:val="404041"/>
                <w:sz w:val="16"/>
                <w:szCs w:val="16"/>
                <w:shd w:val="clear" w:color="auto" w:fill="FFFFFF"/>
                <w:lang w:val="en-GB"/>
              </w:rPr>
              <w:t xml:space="preserve"> voting rights or attribution rights over the income or the assets of that non-resident company</w:t>
            </w:r>
            <w:r w:rsidRPr="00AA5D8E">
              <w:rPr>
                <w:rFonts w:cs="Arial"/>
                <w:color w:val="auto"/>
                <w:sz w:val="16"/>
                <w:szCs w:val="16"/>
                <w:lang w:val="en-GB"/>
              </w:rPr>
              <w:t>; or</w:t>
            </w:r>
          </w:p>
          <w:p w14:paraId="6D6CF7CF" w14:textId="086BB0AC" w:rsidR="00F12FEB" w:rsidRPr="00AA5D8E" w:rsidRDefault="00F12FEB" w:rsidP="00F12FEB">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AA5D8E">
              <w:rPr>
                <w:rFonts w:cs="Arial"/>
                <w:color w:val="auto"/>
                <w:sz w:val="16"/>
                <w:szCs w:val="16"/>
                <w:lang w:val="en-GB"/>
              </w:rPr>
              <w:t>10% or more of its capital where more than 50% of its capital is owned (directly or indirectly) by Portuguese resident participators.</w:t>
            </w:r>
          </w:p>
          <w:p w14:paraId="604877CD" w14:textId="77777777" w:rsidR="00F12FEB" w:rsidRPr="00AA5D8E" w:rsidRDefault="00F12FEB" w:rsidP="00F12FE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10CB98EA" w14:textId="7040B028" w:rsidR="00F12FEB" w:rsidRPr="00AA5D8E" w:rsidRDefault="00F12FE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rFonts w:cs="Arial"/>
                <w:color w:val="auto"/>
                <w:sz w:val="16"/>
                <w:szCs w:val="16"/>
                <w:shd w:val="clear" w:color="auto" w:fill="FFFFFF"/>
                <w:lang w:val="en-GB"/>
              </w:rPr>
              <w:t xml:space="preserve">The regime is not applicable if the controlled foreign company is </w:t>
            </w:r>
            <w:r w:rsidR="00636DBC" w:rsidRPr="00AA5D8E">
              <w:rPr>
                <w:rFonts w:cs="Arial"/>
                <w:color w:val="auto"/>
                <w:sz w:val="16"/>
                <w:szCs w:val="16"/>
                <w:shd w:val="clear" w:color="auto" w:fill="FFFFFF"/>
                <w:lang w:val="en-GB"/>
              </w:rPr>
              <w:t xml:space="preserve">resident or established in </w:t>
            </w:r>
            <w:r w:rsidRPr="00AA5D8E">
              <w:rPr>
                <w:rFonts w:cs="Arial"/>
                <w:color w:val="auto"/>
                <w:sz w:val="16"/>
                <w:szCs w:val="16"/>
                <w:shd w:val="clear" w:color="auto" w:fill="FFFFFF"/>
                <w:lang w:val="en-GB"/>
              </w:rPr>
              <w:t>the</w:t>
            </w:r>
            <w:r w:rsidR="00636DBC" w:rsidRPr="00AA5D8E">
              <w:rPr>
                <w:rFonts w:cs="Arial"/>
                <w:color w:val="auto"/>
                <w:sz w:val="16"/>
                <w:szCs w:val="16"/>
                <w:shd w:val="clear" w:color="auto" w:fill="FFFFFF"/>
                <w:lang w:val="en-GB"/>
              </w:rPr>
              <w:t xml:space="preserve"> EU or</w:t>
            </w:r>
            <w:r w:rsidRPr="00AA5D8E">
              <w:rPr>
                <w:rFonts w:cs="Arial"/>
                <w:color w:val="auto"/>
                <w:sz w:val="16"/>
                <w:szCs w:val="16"/>
                <w:shd w:val="clear" w:color="auto" w:fill="FFFFFF"/>
                <w:lang w:val="en-GB"/>
              </w:rPr>
              <w:t xml:space="preserve"> EEA and the Portuguese taxpayer proves that the incorporation and functioning of the company are based on valid commercial reasons and that such company carries out an agricultural, commercial,</w:t>
            </w:r>
            <w:r w:rsidR="00AA250B" w:rsidRPr="00AA5D8E">
              <w:rPr>
                <w:rFonts w:cs="Arial"/>
                <w:color w:val="auto"/>
                <w:sz w:val="16"/>
                <w:szCs w:val="16"/>
                <w:shd w:val="clear" w:color="auto" w:fill="FFFFFF"/>
                <w:lang w:val="en-GB"/>
              </w:rPr>
              <w:t xml:space="preserve"> </w:t>
            </w:r>
            <w:r w:rsidRPr="00AA5D8E">
              <w:rPr>
                <w:rFonts w:cs="Arial"/>
                <w:color w:val="auto"/>
                <w:sz w:val="16"/>
                <w:szCs w:val="16"/>
                <w:shd w:val="clear" w:color="auto" w:fill="FFFFFF"/>
                <w:lang w:val="en-GB"/>
              </w:rPr>
              <w:t>industrial or services activity</w:t>
            </w:r>
            <w:r w:rsidR="003B3CD1" w:rsidRPr="00AA5D8E">
              <w:rPr>
                <w:rStyle w:val="FootnoteReference"/>
                <w:rFonts w:cs="Arial"/>
                <w:color w:val="auto"/>
                <w:szCs w:val="16"/>
                <w:shd w:val="clear" w:color="auto" w:fill="FFFFFF"/>
                <w:lang w:val="en-GB"/>
              </w:rPr>
              <w:footnoteReference w:id="13"/>
            </w:r>
            <w:r w:rsidRPr="00AA5D8E">
              <w:rPr>
                <w:rFonts w:cs="Arial"/>
                <w:color w:val="auto"/>
                <w:sz w:val="16"/>
                <w:szCs w:val="16"/>
                <w:shd w:val="clear" w:color="auto" w:fill="FFFFFF"/>
                <w:lang w:val="en-GB"/>
              </w:rPr>
              <w:t>.</w:t>
            </w:r>
          </w:p>
        </w:tc>
      </w:tr>
      <w:tr w:rsidR="00F12FEB" w:rsidRPr="00AA5D8E"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F12FEB" w:rsidRPr="00AA5D8E" w:rsidRDefault="00F12FEB" w:rsidP="009E71C6">
            <w:pPr>
              <w:pStyle w:val="ListNumber"/>
              <w:tabs>
                <w:tab w:val="clear" w:pos="284"/>
              </w:tabs>
              <w:ind w:left="340" w:hanging="340"/>
              <w:jc w:val="left"/>
              <w:rPr>
                <w:b w:val="0"/>
                <w:sz w:val="16"/>
                <w:szCs w:val="16"/>
                <w:lang w:val="en-GB"/>
              </w:rPr>
            </w:pPr>
            <w:r w:rsidRPr="00AA5D8E">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7978551F" w:rsidR="00D14DEE" w:rsidRPr="00AA5D8E" w:rsidRDefault="00A257B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 Foreign income is imputed to the resident individual or corporate entity and taxed in accordace with the CIRC</w:t>
            </w:r>
            <w:r w:rsidR="00D14DEE" w:rsidRPr="00AA5D8E">
              <w:rPr>
                <w:color w:val="auto"/>
                <w:sz w:val="16"/>
                <w:szCs w:val="16"/>
                <w:lang w:val="en-GB"/>
              </w:rPr>
              <w:t xml:space="preserve"> (see dividend</w:t>
            </w:r>
            <w:r w:rsidR="00C22377" w:rsidRPr="00AA5D8E">
              <w:rPr>
                <w:color w:val="auto"/>
                <w:sz w:val="16"/>
                <w:szCs w:val="16"/>
                <w:lang w:val="en-GB"/>
              </w:rPr>
              <w:t xml:space="preserve">s </w:t>
            </w:r>
            <w:r w:rsidR="00D14DEE" w:rsidRPr="00AA5D8E">
              <w:rPr>
                <w:color w:val="auto"/>
                <w:sz w:val="16"/>
                <w:szCs w:val="16"/>
                <w:lang w:val="en-GB"/>
              </w:rPr>
              <w:t xml:space="preserve">and royalties exemption limitation rules in questions </w:t>
            </w:r>
            <w:r w:rsidR="009469CF" w:rsidRPr="00AA5D8E">
              <w:rPr>
                <w:color w:val="auto"/>
                <w:sz w:val="16"/>
                <w:szCs w:val="16"/>
                <w:lang w:val="en-GB"/>
              </w:rPr>
              <w:t xml:space="preserve">3, 4 and 23) </w:t>
            </w:r>
            <w:r w:rsidR="005A5EDF" w:rsidRPr="00AA5D8E">
              <w:rPr>
                <w:color w:val="auto"/>
                <w:sz w:val="16"/>
                <w:szCs w:val="16"/>
                <w:lang w:val="en-GB"/>
              </w:rPr>
              <w:t>and interest</w:t>
            </w:r>
            <w:r w:rsidR="008B0BBA" w:rsidRPr="00AA5D8E">
              <w:rPr>
                <w:color w:val="auto"/>
                <w:sz w:val="16"/>
                <w:szCs w:val="16"/>
                <w:lang w:val="en-GB"/>
              </w:rPr>
              <w:t xml:space="preserve">/royalties </w:t>
            </w:r>
            <w:r w:rsidR="005A5EDF" w:rsidRPr="00AA5D8E">
              <w:rPr>
                <w:color w:val="auto"/>
                <w:sz w:val="16"/>
                <w:szCs w:val="16"/>
                <w:lang w:val="en-GB"/>
              </w:rPr>
              <w:t>limitation rules, a</w:t>
            </w:r>
            <w:r w:rsidR="00421E68" w:rsidRPr="00AA5D8E">
              <w:rPr>
                <w:color w:val="auto"/>
                <w:sz w:val="16"/>
                <w:szCs w:val="16"/>
                <w:lang w:val="en-GB"/>
              </w:rPr>
              <w:t xml:space="preserve">s explained in questions 13, </w:t>
            </w:r>
            <w:r w:rsidR="005A5EDF" w:rsidRPr="00AA5D8E">
              <w:rPr>
                <w:color w:val="auto"/>
                <w:sz w:val="16"/>
                <w:szCs w:val="16"/>
                <w:lang w:val="en-GB"/>
              </w:rPr>
              <w:t>16,</w:t>
            </w:r>
            <w:r w:rsidR="00421E68" w:rsidRPr="00AA5D8E">
              <w:rPr>
                <w:color w:val="auto"/>
                <w:sz w:val="16"/>
                <w:szCs w:val="16"/>
                <w:lang w:val="en-GB"/>
              </w:rPr>
              <w:t xml:space="preserve"> 20,</w:t>
            </w:r>
            <w:r w:rsidR="00E64F64" w:rsidRPr="00AA5D8E">
              <w:rPr>
                <w:color w:val="auto"/>
                <w:sz w:val="16"/>
                <w:szCs w:val="16"/>
                <w:lang w:val="en-GB"/>
              </w:rPr>
              <w:t xml:space="preserve"> c) and</w:t>
            </w:r>
            <w:r w:rsidR="00421E68" w:rsidRPr="00AA5D8E">
              <w:rPr>
                <w:color w:val="auto"/>
                <w:sz w:val="16"/>
                <w:szCs w:val="16"/>
                <w:lang w:val="en-GB"/>
              </w:rPr>
              <w:t xml:space="preserve"> e) and 31,</w:t>
            </w:r>
            <w:r w:rsidR="00F52E76" w:rsidRPr="00AA5D8E">
              <w:rPr>
                <w:color w:val="auto"/>
                <w:sz w:val="16"/>
                <w:szCs w:val="16"/>
                <w:lang w:val="en-GB"/>
              </w:rPr>
              <w:t xml:space="preserve"> a) and</w:t>
            </w:r>
            <w:r w:rsidR="00421E68" w:rsidRPr="00AA5D8E">
              <w:rPr>
                <w:color w:val="auto"/>
                <w:sz w:val="16"/>
                <w:szCs w:val="16"/>
                <w:lang w:val="en-GB"/>
              </w:rPr>
              <w:t xml:space="preserve"> d)</w:t>
            </w:r>
            <w:r w:rsidR="00C552AC" w:rsidRPr="00AA5D8E">
              <w:rPr>
                <w:color w:val="auto"/>
                <w:sz w:val="16"/>
                <w:szCs w:val="16"/>
                <w:lang w:val="en-GB"/>
              </w:rPr>
              <w:t>,</w:t>
            </w:r>
            <w:r w:rsidR="005A5EDF" w:rsidRPr="00AA5D8E">
              <w:rPr>
                <w:color w:val="auto"/>
                <w:sz w:val="16"/>
                <w:szCs w:val="16"/>
                <w:lang w:val="en-GB"/>
              </w:rPr>
              <w:t xml:space="preserve"> apply. See art. 66 CIRC.</w:t>
            </w:r>
          </w:p>
        </w:tc>
      </w:tr>
      <w:tr w:rsidR="00F12FEB" w:rsidRPr="00AA5D8E"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F12FEB" w:rsidRPr="00AA5D8E" w:rsidRDefault="00F12FEB" w:rsidP="00427661">
            <w:pPr>
              <w:rPr>
                <w:lang w:val="en-GB"/>
              </w:rPr>
            </w:pPr>
            <w:r w:rsidRPr="00AA5D8E">
              <w:rPr>
                <w:i/>
                <w:sz w:val="16"/>
                <w:szCs w:val="16"/>
                <w:lang w:val="en-GB"/>
              </w:rPr>
              <w:t>Mismatch in qualification of legal entities</w:t>
            </w:r>
          </w:p>
        </w:tc>
      </w:tr>
      <w:tr w:rsidR="00F12FEB" w:rsidRPr="00AA5D8E"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F12FEB" w:rsidRPr="00AA5D8E" w:rsidRDefault="00F12FEB" w:rsidP="009E71C6">
            <w:pPr>
              <w:pStyle w:val="ListNumber"/>
              <w:tabs>
                <w:tab w:val="clear" w:pos="284"/>
              </w:tabs>
              <w:ind w:left="340" w:hanging="340"/>
              <w:jc w:val="left"/>
              <w:rPr>
                <w:b w:val="0"/>
                <w:i/>
                <w:sz w:val="16"/>
                <w:szCs w:val="16"/>
                <w:lang w:val="en-GB"/>
              </w:rPr>
            </w:pPr>
            <w:r w:rsidRPr="00AA5D8E">
              <w:rPr>
                <w:b w:val="0"/>
                <w:sz w:val="16"/>
                <w:szCs w:val="16"/>
                <w:lang w:val="en-GB"/>
              </w:rPr>
              <w:lastRenderedPageBreak/>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2EB330C3" w14:textId="77777777" w:rsidR="00F12FEB" w:rsidRPr="00AA5D8E" w:rsidRDefault="0045421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Yes.</w:t>
            </w:r>
            <w:r w:rsidR="00B73671" w:rsidRPr="00AA5D8E">
              <w:rPr>
                <w:color w:val="auto"/>
                <w:sz w:val="16"/>
                <w:szCs w:val="16"/>
                <w:lang w:val="en-GB"/>
              </w:rPr>
              <w:t xml:space="preserve"> Portugal accepts the foreign state tax qualification of a foreign legal entity unless fraud or</w:t>
            </w:r>
            <w:r w:rsidR="001C3452" w:rsidRPr="00AA5D8E">
              <w:rPr>
                <w:color w:val="auto"/>
                <w:sz w:val="16"/>
                <w:szCs w:val="16"/>
                <w:lang w:val="en-GB"/>
              </w:rPr>
              <w:t xml:space="preserve"> the general</w:t>
            </w:r>
            <w:r w:rsidR="00B73671" w:rsidRPr="00AA5D8E">
              <w:rPr>
                <w:color w:val="auto"/>
                <w:sz w:val="16"/>
                <w:szCs w:val="16"/>
                <w:lang w:val="en-GB"/>
              </w:rPr>
              <w:t xml:space="preserve"> </w:t>
            </w:r>
            <w:r w:rsidR="001C3452" w:rsidRPr="00AA5D8E">
              <w:rPr>
                <w:color w:val="auto"/>
                <w:sz w:val="16"/>
                <w:szCs w:val="16"/>
                <w:lang w:val="en-GB"/>
              </w:rPr>
              <w:t>anti-avoidance rule</w:t>
            </w:r>
            <w:r w:rsidR="00B73671" w:rsidRPr="00AA5D8E">
              <w:rPr>
                <w:color w:val="auto"/>
                <w:sz w:val="16"/>
                <w:szCs w:val="16"/>
                <w:lang w:val="en-GB"/>
              </w:rPr>
              <w:t xml:space="preserve"> come</w:t>
            </w:r>
            <w:r w:rsidR="001C3452" w:rsidRPr="00AA5D8E">
              <w:rPr>
                <w:color w:val="auto"/>
                <w:sz w:val="16"/>
                <w:szCs w:val="16"/>
                <w:lang w:val="en-GB"/>
              </w:rPr>
              <w:t>s</w:t>
            </w:r>
            <w:r w:rsidR="00B73671" w:rsidRPr="00AA5D8E">
              <w:rPr>
                <w:color w:val="auto"/>
                <w:sz w:val="16"/>
                <w:szCs w:val="16"/>
                <w:lang w:val="en-GB"/>
              </w:rPr>
              <w:t xml:space="preserve"> into operation.</w:t>
            </w:r>
          </w:p>
          <w:p w14:paraId="43244D82" w14:textId="08116212" w:rsidR="006C2AAF" w:rsidRPr="00AA5D8E" w:rsidRDefault="006C2AA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Following Model ATP-Structure nº 3, ‘Hybrid Mismatches’ which can lead to double taxation are addressed under Double Taxation Treaties. However, the problem</w:t>
            </w:r>
            <w:r w:rsidR="00AA250B" w:rsidRPr="00AA5D8E">
              <w:rPr>
                <w:color w:val="auto"/>
                <w:sz w:val="16"/>
                <w:szCs w:val="16"/>
                <w:lang w:val="en-GB"/>
              </w:rPr>
              <w:t>s</w:t>
            </w:r>
            <w:r w:rsidRPr="00AA5D8E">
              <w:rPr>
                <w:color w:val="auto"/>
                <w:sz w:val="16"/>
                <w:szCs w:val="16"/>
                <w:lang w:val="en-GB"/>
              </w:rPr>
              <w:t xml:space="preserve"> of a hybrid mismatch leading to no taxation or to ‘double dip’ schemes are not specifically addressed in the Portuguese tax system.</w:t>
            </w:r>
          </w:p>
        </w:tc>
      </w:tr>
      <w:tr w:rsidR="00F12FEB" w:rsidRPr="00AA5D8E"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F12FEB" w:rsidRPr="00AA5D8E" w:rsidRDefault="00F12FEB" w:rsidP="009E71C6">
            <w:pPr>
              <w:pStyle w:val="ListNumber"/>
              <w:tabs>
                <w:tab w:val="clear" w:pos="284"/>
              </w:tabs>
              <w:ind w:left="340" w:hanging="340"/>
              <w:jc w:val="left"/>
              <w:rPr>
                <w:b w:val="0"/>
                <w:sz w:val="16"/>
                <w:szCs w:val="16"/>
                <w:lang w:val="en-GB"/>
              </w:rPr>
            </w:pPr>
            <w:r w:rsidRPr="00AA5D8E">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77D02897" w:rsidR="00F12FEB" w:rsidRPr="00AA5D8E" w:rsidRDefault="00D5406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F12FEB" w:rsidRPr="00AA5D8E" w:rsidRDefault="00F12FEB" w:rsidP="009E71C6">
            <w:pPr>
              <w:pStyle w:val="ListNumber"/>
              <w:tabs>
                <w:tab w:val="clear" w:pos="284"/>
              </w:tabs>
              <w:ind w:left="340" w:hanging="340"/>
              <w:jc w:val="left"/>
              <w:rPr>
                <w:b w:val="0"/>
                <w:sz w:val="16"/>
                <w:szCs w:val="16"/>
                <w:lang w:val="en-GB"/>
              </w:rPr>
            </w:pPr>
            <w:r w:rsidRPr="00AA5D8E">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301C122F" w:rsidR="00F12FEB" w:rsidRPr="00AA5D8E" w:rsidRDefault="007F4D5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F12FEB" w:rsidRPr="00AA5D8E" w:rsidRDefault="00F12FEB" w:rsidP="00427661">
            <w:pPr>
              <w:rPr>
                <w:lang w:val="en-GB"/>
              </w:rPr>
            </w:pPr>
            <w:r w:rsidRPr="00AA5D8E">
              <w:rPr>
                <w:i/>
                <w:sz w:val="16"/>
                <w:szCs w:val="16"/>
                <w:lang w:val="en-GB"/>
              </w:rPr>
              <w:t>Tax residence of company</w:t>
            </w:r>
          </w:p>
        </w:tc>
      </w:tr>
      <w:tr w:rsidR="00F12FEB" w:rsidRPr="00AA5D8E"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F12FEB" w:rsidRPr="00AA5D8E" w:rsidRDefault="00F12FEB" w:rsidP="00CD34C0">
            <w:pPr>
              <w:pStyle w:val="ListNumber"/>
              <w:tabs>
                <w:tab w:val="clear" w:pos="284"/>
              </w:tabs>
              <w:ind w:left="340" w:hanging="340"/>
              <w:jc w:val="left"/>
              <w:rPr>
                <w:b w:val="0"/>
                <w:i/>
                <w:sz w:val="16"/>
                <w:szCs w:val="16"/>
                <w:lang w:val="en-GB"/>
              </w:rPr>
            </w:pPr>
            <w:r w:rsidRPr="00AA5D8E">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25D78E5A" w:rsidR="00F12FEB" w:rsidRPr="00AA5D8E" w:rsidRDefault="009D7D88"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w:t>
            </w:r>
          </w:p>
        </w:tc>
      </w:tr>
      <w:tr w:rsidR="00F12FEB" w:rsidRPr="00AA5D8E"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F12FEB" w:rsidRPr="00AA5D8E" w:rsidRDefault="00F12FEB" w:rsidP="005756EF">
            <w:pPr>
              <w:pStyle w:val="ListNumber"/>
              <w:tabs>
                <w:tab w:val="clear" w:pos="284"/>
              </w:tabs>
              <w:ind w:left="340" w:hanging="340"/>
              <w:jc w:val="left"/>
              <w:rPr>
                <w:b w:val="0"/>
                <w:sz w:val="16"/>
                <w:szCs w:val="16"/>
                <w:lang w:val="en-GB"/>
              </w:rPr>
            </w:pPr>
            <w:r w:rsidRPr="00AA5D8E">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6B80B7DF" w:rsidR="00F12FEB" w:rsidRPr="00AA5D8E" w:rsidRDefault="004B2321"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N/A</w:t>
            </w:r>
          </w:p>
        </w:tc>
      </w:tr>
      <w:tr w:rsidR="00F12FEB" w:rsidRPr="00AA5D8E"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F12FEB" w:rsidRPr="00AA5D8E" w:rsidRDefault="00F12FEB" w:rsidP="00427661">
            <w:pPr>
              <w:rPr>
                <w:lang w:val="en-GB"/>
              </w:rPr>
            </w:pPr>
            <w:r w:rsidRPr="00AA5D8E">
              <w:rPr>
                <w:i/>
                <w:sz w:val="16"/>
                <w:szCs w:val="16"/>
                <w:lang w:val="en-GB"/>
              </w:rPr>
              <w:t>Tax ruling practices</w:t>
            </w:r>
          </w:p>
        </w:tc>
      </w:tr>
      <w:tr w:rsidR="00F12FEB" w:rsidRPr="00AA5D8E"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F12FEB" w:rsidRPr="00AA5D8E" w:rsidRDefault="00F12FEB" w:rsidP="00B94C91">
            <w:pPr>
              <w:pStyle w:val="ListNumber"/>
              <w:tabs>
                <w:tab w:val="clear" w:pos="284"/>
              </w:tabs>
              <w:ind w:left="340" w:hanging="340"/>
              <w:jc w:val="left"/>
              <w:rPr>
                <w:b w:val="0"/>
                <w:i/>
                <w:sz w:val="16"/>
                <w:szCs w:val="16"/>
                <w:lang w:val="en-GB"/>
              </w:rPr>
            </w:pPr>
            <w:r w:rsidRPr="00AA5D8E">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7D1A02FF" w14:textId="77777777" w:rsidR="00F12FEB" w:rsidRPr="00AA5D8E" w:rsidRDefault="000F030A"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Yes. Under</w:t>
            </w:r>
            <w:r w:rsidR="00C05E0C" w:rsidRPr="00AA5D8E">
              <w:rPr>
                <w:color w:val="auto"/>
                <w:sz w:val="16"/>
                <w:szCs w:val="16"/>
                <w:lang w:val="en-GB"/>
              </w:rPr>
              <w:t xml:space="preserve"> art. 138 CIRC</w:t>
            </w:r>
            <w:r w:rsidRPr="00AA5D8E">
              <w:rPr>
                <w:color w:val="auto"/>
                <w:sz w:val="16"/>
                <w:szCs w:val="16"/>
                <w:lang w:val="en-GB"/>
              </w:rPr>
              <w:t xml:space="preserve"> it is possible to obtain a written ruling from the Portuguese tax administration that confirms the most appropriate transfer pricing method applicable to the transaction.</w:t>
            </w:r>
          </w:p>
          <w:p w14:paraId="5B77A77C" w14:textId="238E6AC0" w:rsidR="000F030A" w:rsidRPr="00AA5D8E" w:rsidRDefault="000F030A"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Taxpayers may apply for either bilateral or multilateral APA(s)</w:t>
            </w:r>
            <w:r w:rsidR="006068D5" w:rsidRPr="00AA5D8E">
              <w:rPr>
                <w:color w:val="auto"/>
                <w:sz w:val="16"/>
                <w:szCs w:val="16"/>
                <w:lang w:val="en-GB"/>
              </w:rPr>
              <w:t xml:space="preserve"> and, for this purpose</w:t>
            </w:r>
            <w:r w:rsidR="0016676A" w:rsidRPr="00AA5D8E">
              <w:rPr>
                <w:color w:val="auto"/>
                <w:sz w:val="16"/>
                <w:szCs w:val="16"/>
                <w:lang w:val="en-GB"/>
              </w:rPr>
              <w:t>s</w:t>
            </w:r>
            <w:r w:rsidR="006068D5" w:rsidRPr="00AA5D8E">
              <w:rPr>
                <w:color w:val="auto"/>
                <w:sz w:val="16"/>
                <w:szCs w:val="16"/>
                <w:lang w:val="en-GB"/>
              </w:rPr>
              <w:t>, they must present to the tax administration a documented request with a proposal of the most adequate transfer pricing method.</w:t>
            </w:r>
          </w:p>
          <w:p w14:paraId="4A71EC1E" w14:textId="18612820" w:rsidR="00A028BF" w:rsidRPr="00AA5D8E" w:rsidRDefault="00A028BF"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APA(s) are confidential.</w:t>
            </w:r>
          </w:p>
        </w:tc>
      </w:tr>
      <w:tr w:rsidR="00F12FEB" w:rsidRPr="00AA5D8E"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69F1F15C" w:rsidR="00F12FEB" w:rsidRPr="00AA5D8E" w:rsidRDefault="00F12FEB" w:rsidP="00CD34C0">
            <w:pPr>
              <w:pStyle w:val="ListNumber"/>
              <w:tabs>
                <w:tab w:val="clear" w:pos="284"/>
              </w:tabs>
              <w:ind w:left="340" w:hanging="340"/>
              <w:jc w:val="left"/>
              <w:rPr>
                <w:b w:val="0"/>
                <w:sz w:val="16"/>
                <w:szCs w:val="16"/>
                <w:lang w:val="en-GB"/>
              </w:rPr>
            </w:pPr>
            <w:r w:rsidRPr="00AA5D8E">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6FF218C8" w14:textId="77777777" w:rsidR="00F12FEB" w:rsidRPr="00AA5D8E" w:rsidRDefault="00541F3F"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No. See art. 63 CIRC.</w:t>
            </w:r>
          </w:p>
          <w:p w14:paraId="06ABEE95" w14:textId="3E3EFF80" w:rsidR="00FF1CB8" w:rsidRPr="00AA5D8E" w:rsidRDefault="00FF1CB8"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A5D8E">
              <w:rPr>
                <w:color w:val="auto"/>
                <w:sz w:val="16"/>
                <w:szCs w:val="16"/>
                <w:lang w:val="en-GB"/>
              </w:rPr>
              <w:t xml:space="preserve">Theoretically this situation may be defended if in accordance with the arm’s length principle and </w:t>
            </w:r>
            <w:r w:rsidR="006A6612" w:rsidRPr="00AA5D8E">
              <w:rPr>
                <w:color w:val="auto"/>
                <w:sz w:val="16"/>
                <w:szCs w:val="16"/>
                <w:lang w:val="en-GB"/>
              </w:rPr>
              <w:t>in case</w:t>
            </w:r>
            <w:r w:rsidRPr="00AA5D8E">
              <w:rPr>
                <w:color w:val="auto"/>
                <w:sz w:val="16"/>
                <w:szCs w:val="16"/>
                <w:lang w:val="en-GB"/>
              </w:rPr>
              <w:t xml:space="preserve"> the taxpayer complies with both material and documentation conditions as prescribed in art. 63 </w:t>
            </w:r>
            <w:r w:rsidR="00795C65" w:rsidRPr="00AA5D8E">
              <w:rPr>
                <w:color w:val="auto"/>
                <w:sz w:val="16"/>
                <w:szCs w:val="16"/>
                <w:lang w:val="en-GB"/>
              </w:rPr>
              <w:t>para. 6 CIRC).</w:t>
            </w:r>
          </w:p>
        </w:tc>
      </w:tr>
      <w:tr w:rsidR="00F12FEB" w:rsidRPr="00AA5D8E"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F12FEB" w:rsidRPr="00AA5D8E" w:rsidRDefault="00F12FEB" w:rsidP="00D67218">
            <w:pPr>
              <w:pStyle w:val="ListNumber"/>
              <w:tabs>
                <w:tab w:val="clear" w:pos="284"/>
              </w:tabs>
              <w:ind w:left="340" w:hanging="340"/>
              <w:jc w:val="left"/>
              <w:rPr>
                <w:b w:val="0"/>
                <w:sz w:val="16"/>
                <w:szCs w:val="16"/>
                <w:lang w:val="en-GB"/>
              </w:rPr>
            </w:pPr>
            <w:r w:rsidRPr="00AA5D8E">
              <w:rPr>
                <w:b w:val="0"/>
                <w:sz w:val="16"/>
                <w:szCs w:val="16"/>
                <w:lang w:val="en-GB"/>
              </w:rPr>
              <w:t xml:space="preserve">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w:t>
            </w:r>
            <w:r w:rsidRPr="00AA5D8E">
              <w:rPr>
                <w:b w:val="0"/>
                <w:sz w:val="16"/>
                <w:szCs w:val="16"/>
                <w:lang w:val="en-GB"/>
              </w:rPr>
              <w:lastRenderedPageBreak/>
              <w:t>arm-‘s length conditions?</w:t>
            </w:r>
          </w:p>
          <w:p w14:paraId="69901716" w14:textId="77777777" w:rsidR="00F12FEB" w:rsidRPr="00AA5D8E" w:rsidRDefault="00F12FEB" w:rsidP="00D67218">
            <w:pPr>
              <w:pStyle w:val="ListNumber"/>
              <w:numPr>
                <w:ilvl w:val="0"/>
                <w:numId w:val="0"/>
              </w:numPr>
              <w:ind w:left="340"/>
              <w:jc w:val="left"/>
              <w:rPr>
                <w:b w:val="0"/>
                <w:sz w:val="16"/>
                <w:szCs w:val="16"/>
                <w:lang w:val="en-GB"/>
              </w:rPr>
            </w:pPr>
          </w:p>
        </w:tc>
        <w:tc>
          <w:tcPr>
            <w:tcW w:w="3933" w:type="dxa"/>
          </w:tcPr>
          <w:p w14:paraId="008ED5F7" w14:textId="0B1CD0C5" w:rsidR="00C672B0" w:rsidRPr="00AA5D8E" w:rsidRDefault="00C672B0" w:rsidP="00C672B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lastRenderedPageBreak/>
              <w:t xml:space="preserve">As far as rulings are concerned the answer is no to question a) </w:t>
            </w:r>
            <w:r w:rsidR="006940F4" w:rsidRPr="00AA5D8E">
              <w:rPr>
                <w:color w:val="auto"/>
                <w:sz w:val="16"/>
                <w:szCs w:val="16"/>
                <w:lang w:val="en-GB"/>
              </w:rPr>
              <w:t>and yes to b) but subject to the</w:t>
            </w:r>
            <w:r w:rsidRPr="00AA5D8E">
              <w:rPr>
                <w:color w:val="auto"/>
                <w:sz w:val="16"/>
                <w:szCs w:val="16"/>
                <w:lang w:val="en-GB"/>
              </w:rPr>
              <w:t xml:space="preserve"> corresponding adjustment </w:t>
            </w:r>
            <w:r w:rsidR="006940F4" w:rsidRPr="00AA5D8E">
              <w:rPr>
                <w:color w:val="auto"/>
                <w:sz w:val="16"/>
                <w:szCs w:val="16"/>
                <w:lang w:val="en-GB"/>
              </w:rPr>
              <w:t>in the other state under the applicable double taxation treaty.</w:t>
            </w:r>
            <w:r w:rsidR="003B3CD1" w:rsidRPr="00AA5D8E">
              <w:rPr>
                <w:rStyle w:val="FootnoteReference"/>
                <w:color w:val="auto"/>
                <w:szCs w:val="16"/>
                <w:lang w:val="en-GB"/>
              </w:rPr>
              <w:footnoteReference w:id="14"/>
            </w:r>
          </w:p>
          <w:p w14:paraId="57D292F6" w14:textId="4CB7FF8B" w:rsidR="003566CD" w:rsidRPr="00AA5D8E" w:rsidRDefault="003566CD"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12FEB" w:rsidRPr="00AA5D8E"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02B31D15" w:rsidR="00F12FEB" w:rsidRPr="00AA5D8E" w:rsidRDefault="00F12FEB" w:rsidP="00427661">
            <w:pPr>
              <w:rPr>
                <w:lang w:val="en-GB"/>
              </w:rPr>
            </w:pPr>
            <w:r w:rsidRPr="00AA5D8E">
              <w:rPr>
                <w:i/>
                <w:sz w:val="16"/>
                <w:szCs w:val="16"/>
                <w:lang w:val="en-GB"/>
              </w:rPr>
              <w:lastRenderedPageBreak/>
              <w:t>GAAR/SAAR</w:t>
            </w:r>
          </w:p>
        </w:tc>
      </w:tr>
      <w:tr w:rsidR="00F12FEB" w:rsidRPr="00AA5D8E"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F12FEB" w:rsidRPr="00AA5D8E" w:rsidRDefault="00F12FEB" w:rsidP="005756EF">
            <w:pPr>
              <w:pStyle w:val="ListNumber"/>
              <w:tabs>
                <w:tab w:val="clear" w:pos="284"/>
              </w:tabs>
              <w:ind w:left="340" w:hanging="340"/>
              <w:jc w:val="left"/>
              <w:rPr>
                <w:b w:val="0"/>
                <w:i/>
                <w:sz w:val="16"/>
                <w:szCs w:val="16"/>
                <w:lang w:val="en-GB"/>
              </w:rPr>
            </w:pPr>
            <w:r w:rsidRPr="00AA5D8E">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2B746A18" w14:textId="77777777" w:rsidR="00CA6CEA" w:rsidRPr="00AA5D8E" w:rsidRDefault="00F12FEB"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 General Tax Law (LGT) contains a general anti-avoidance provision. Under this provision (article 38 of the LGT), acts are void if it is proven that they are carried out, by artificial means, with the main objective (or one of the main objectives), of the reduction, elimination or deferral of tax that would otherwise be due. In such a case, the transaction will be subject to normal taxation without the planned tax advantages.</w:t>
            </w:r>
          </w:p>
          <w:p w14:paraId="58284D6B" w14:textId="7CB2D734" w:rsidR="00F12FEB" w:rsidRPr="00AA5D8E" w:rsidRDefault="00CA6CEA"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This general anti-avoidance provision is difficult to enforce judicially and Model ATP-Structures no. 1-7 can be targeted under specific anti-avoidance rules as explained in this questionnaire in the context of dividend/interest and royalties limitation rules</w:t>
            </w:r>
            <w:r w:rsidR="0010235A" w:rsidRPr="00AA5D8E">
              <w:rPr>
                <w:color w:val="auto"/>
                <w:sz w:val="16"/>
                <w:szCs w:val="16"/>
                <w:lang w:val="en-GB"/>
              </w:rPr>
              <w:t xml:space="preserve"> covering both inbound </w:t>
            </w:r>
            <w:r w:rsidR="009B072A" w:rsidRPr="00AA5D8E">
              <w:rPr>
                <w:color w:val="auto"/>
                <w:sz w:val="16"/>
                <w:szCs w:val="16"/>
                <w:lang w:val="en-GB"/>
              </w:rPr>
              <w:t xml:space="preserve">and </w:t>
            </w:r>
            <w:r w:rsidR="0010235A" w:rsidRPr="00AA5D8E">
              <w:rPr>
                <w:color w:val="auto"/>
                <w:sz w:val="16"/>
                <w:szCs w:val="16"/>
                <w:lang w:val="en-GB"/>
              </w:rPr>
              <w:t>outbound payments.</w:t>
            </w:r>
            <w:r w:rsidR="00F12FEB" w:rsidRPr="00AA5D8E">
              <w:rPr>
                <w:color w:val="auto"/>
                <w:sz w:val="16"/>
                <w:szCs w:val="16"/>
                <w:lang w:val="en-GB"/>
              </w:rPr>
              <w:t xml:space="preserve"> </w:t>
            </w:r>
          </w:p>
          <w:p w14:paraId="3FAFE2EF" w14:textId="77777777" w:rsidR="00D33F56" w:rsidRPr="00AA5D8E" w:rsidRDefault="00D33F56"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0EBC9AB" w14:textId="77777777" w:rsidR="006B7BD3" w:rsidRPr="00AA5D8E" w:rsidRDefault="006B7BD3" w:rsidP="006B7BD3">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There are 81 jurisdictions which are deemed to be tax havens for the purposes of (i) non-deductibility of payments to non-resident entities located therein, (ii) legislation, (iii) non-application of the exemption in respect of capital gains from the disposal of shares or other corporate rights and securities by non-resident entities located therein, (iv) non-application of certain exemptions from stamp duty, (v) non-application of the tax exemption for interest on treasury bonds derived by non-resident entities located therein and (vi) application of increased rates for the purposes of real estate tax and real estate transfer tax.</w:t>
            </w:r>
          </w:p>
          <w:p w14:paraId="4C9FC223" w14:textId="77777777" w:rsidR="00676506" w:rsidRPr="00AA5D8E" w:rsidRDefault="00676506"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7E784C5" w14:textId="77777777" w:rsidR="00676506" w:rsidRPr="00AA5D8E" w:rsidRDefault="00676506" w:rsidP="00F12FE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D058AD0" w14:textId="77777777" w:rsidR="00D33F56" w:rsidRPr="00AA5D8E" w:rsidRDefault="00D33F56" w:rsidP="00D33F56">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Listed tax havens, by region, are (Ordinance 150/2004, as amended):</w:t>
            </w:r>
          </w:p>
          <w:p w14:paraId="48AB11F9" w14:textId="77777777" w:rsidR="00D33F56" w:rsidRPr="00AA5D8E" w:rsidRDefault="00D33F56" w:rsidP="00AA5D8E">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AA5D8E">
              <w:rPr>
                <w:rFonts w:eastAsiaTheme="minorHAnsi" w:cstheme="minorBidi"/>
                <w:sz w:val="16"/>
                <w:szCs w:val="16"/>
                <w:lang w:val="en-GB" w:eastAsia="en-US"/>
              </w:rPr>
              <w:t>In the Americas: Anguilla, Antigua and Barbuda, Aruba, Bahamas, Barbados, Belize, Bermuda, Bolivia, the British Virgin Islands, the Cayman Islands, Costa Rica, Dominica, the Falkland Islands, Grenada, Guyana, Honduras, Jamaica, Montserrat, the Netherlands Antilles, Panama, Puerto Rico, St. Lucia, St. Pierre and Miquelon, St. Vincent and the Grenadines, Trinidad and Tobago, the Turks and Caicos Islands, Uruguay and the US Virgin Islands;</w:t>
            </w:r>
          </w:p>
          <w:p w14:paraId="65DD5113" w14:textId="77777777" w:rsidR="00D33F56" w:rsidRPr="00AA5D8E" w:rsidRDefault="00D33F56" w:rsidP="00AA5D8E">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AA5D8E">
              <w:rPr>
                <w:rFonts w:eastAsiaTheme="minorHAnsi" w:cstheme="minorBidi"/>
                <w:sz w:val="16"/>
                <w:szCs w:val="16"/>
                <w:lang w:val="en-GB" w:eastAsia="en-US"/>
              </w:rPr>
              <w:t>In Europe: Andorra, Gibraltar, the Isle of Man, the Channel Islands, Liechtenstein, Monaco, San Marino and the Svalbard Islands (Spitsbergen and Bjørnøya);</w:t>
            </w:r>
          </w:p>
          <w:p w14:paraId="767C3B03" w14:textId="77777777" w:rsidR="00D33F56" w:rsidRPr="00AA5D8E" w:rsidRDefault="00D33F56" w:rsidP="00AA5D8E">
            <w:pPr>
              <w:pStyle w:val="ListParagraph"/>
              <w:numPr>
                <w:ilvl w:val="0"/>
                <w:numId w:val="31"/>
              </w:num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AA5D8E">
              <w:rPr>
                <w:rFonts w:eastAsiaTheme="minorHAnsi" w:cstheme="minorBidi"/>
                <w:sz w:val="16"/>
                <w:szCs w:val="16"/>
                <w:lang w:val="en-GB" w:eastAsia="en-US"/>
              </w:rPr>
              <w:t>In Africa and the Middle East: Ascension Island, Bahrain, Djibouti, the Gambia, Jordan, Kuwait, Lebanon, Liberia, Mauritius, Oman, Qatar, Qeshm Island, the Seychelles, St. Helena, Swaziland, Tristan da Cunha, the United Arab Emirates and Yemen;</w:t>
            </w:r>
          </w:p>
          <w:p w14:paraId="59A1BE11" w14:textId="282D06D7" w:rsidR="00D33F56" w:rsidRPr="00AA5D8E" w:rsidRDefault="00D33F56" w:rsidP="00D33F5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rFonts w:eastAsiaTheme="minorHAnsi" w:cstheme="minorBidi"/>
                <w:sz w:val="16"/>
                <w:szCs w:val="16"/>
                <w:lang w:val="en-GB" w:eastAsia="en-US"/>
              </w:rPr>
              <w:t xml:space="preserve">In Asia and the Pacific: American Samoa, Brunei, Christmas Island, the Cocos (Keeling) Islands, the Cook Islands, Fiji, French </w:t>
            </w:r>
            <w:r w:rsidRPr="00AA5D8E">
              <w:rPr>
                <w:rFonts w:eastAsiaTheme="minorHAnsi" w:cstheme="minorBidi"/>
                <w:sz w:val="16"/>
                <w:szCs w:val="16"/>
                <w:lang w:val="en-GB" w:eastAsia="en-US"/>
              </w:rPr>
              <w:lastRenderedPageBreak/>
              <w:t xml:space="preserve">Polynesia, Guam, Hong Kong, Kiribati, Labuan, Maldives, the Marshall Islands, Nauru, Niue Island, Norfolk Island, the Northern Mariana Islands, other Pacific Islands, the Palau Islands, </w:t>
            </w:r>
            <w:r w:rsidRPr="00AA5D8E">
              <w:rPr>
                <w:rFonts w:cs="¿,ıZˇ"/>
                <w:sz w:val="16"/>
                <w:szCs w:val="16"/>
                <w:lang w:val="en-GB"/>
              </w:rPr>
              <w:t xml:space="preserve">Pitcairn Island, St. Kitts and Nevis, the Solomon Islands, Tokelau </w:t>
            </w:r>
            <w:r w:rsidRPr="00AA5D8E">
              <w:rPr>
                <w:rFonts w:eastAsiaTheme="minorHAnsi" w:cstheme="minorBidi"/>
                <w:sz w:val="16"/>
                <w:szCs w:val="16"/>
                <w:lang w:val="en-GB" w:eastAsia="en-US"/>
              </w:rPr>
              <w:t>Island, Tonga, Tuvalu, Vanuatu and Western Samoa.</w:t>
            </w:r>
            <w:r w:rsidR="003B3CD1" w:rsidRPr="00AA5D8E">
              <w:rPr>
                <w:rStyle w:val="FootnoteReference"/>
                <w:rFonts w:eastAsiaTheme="minorHAnsi" w:cstheme="minorBidi"/>
                <w:szCs w:val="16"/>
                <w:lang w:val="en-GB" w:eastAsia="en-US"/>
              </w:rPr>
              <w:footnoteReference w:id="15"/>
            </w:r>
          </w:p>
          <w:p w14:paraId="2A0BA2A7" w14:textId="1EF1F14A" w:rsidR="00F12FEB" w:rsidRPr="00AA5D8E" w:rsidRDefault="00F12FEB" w:rsidP="00F12FEB">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84AE58E" w14:textId="53F7F5D2" w:rsidR="00F12FEB" w:rsidRPr="00AA5D8E" w:rsidRDefault="00F12FEB" w:rsidP="00CA6CEA">
            <w:pPr>
              <w:pStyle w:val="ListParagraph"/>
              <w:autoSpaceDE w:val="0"/>
              <w:autoSpaceDN w:val="0"/>
              <w:adjustRightInd w:val="0"/>
              <w:spacing w:line="240" w:lineRule="auto"/>
              <w:ind w:left="0"/>
              <w:jc w:val="left"/>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F12FEB" w:rsidRPr="00AA5D8E"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F12FEB" w:rsidRPr="00AA5D8E" w:rsidRDefault="00F12FEB" w:rsidP="00427661">
            <w:pPr>
              <w:rPr>
                <w:lang w:val="en-GB"/>
              </w:rPr>
            </w:pPr>
            <w:r w:rsidRPr="00AA5D8E">
              <w:rPr>
                <w:i/>
                <w:sz w:val="16"/>
                <w:szCs w:val="16"/>
                <w:lang w:val="en-GB"/>
              </w:rPr>
              <w:lastRenderedPageBreak/>
              <w:t>Other ATP indicators</w:t>
            </w:r>
          </w:p>
        </w:tc>
      </w:tr>
      <w:tr w:rsidR="00F12FEB" w:rsidRPr="00AA5D8E"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F12FEB" w:rsidRPr="00AA5D8E" w:rsidRDefault="00F12FEB" w:rsidP="005756EF">
            <w:pPr>
              <w:pStyle w:val="ListNumber"/>
              <w:tabs>
                <w:tab w:val="clear" w:pos="284"/>
              </w:tabs>
              <w:ind w:left="340" w:hanging="340"/>
              <w:jc w:val="left"/>
              <w:rPr>
                <w:b w:val="0"/>
                <w:i/>
                <w:sz w:val="16"/>
                <w:szCs w:val="16"/>
                <w:lang w:val="en-GB"/>
              </w:rPr>
            </w:pPr>
            <w:r w:rsidRPr="00AA5D8E">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6CA6276A" w14:textId="77777777" w:rsidR="00F12FEB" w:rsidRPr="00AA5D8E" w:rsidRDefault="0044528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There is no tax practice regarding the application of the alternative residence test of central management and control in Portugal.</w:t>
            </w:r>
          </w:p>
          <w:p w14:paraId="02468314" w14:textId="577F5569" w:rsidR="006B4FA9" w:rsidRPr="00AA5D8E" w:rsidRDefault="006B4FA9"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A5D8E">
              <w:rPr>
                <w:color w:val="auto"/>
                <w:sz w:val="16"/>
                <w:szCs w:val="16"/>
                <w:lang w:val="en-GB"/>
              </w:rPr>
              <w:t>The CIRC establishes for residence purposes both the incorporation and central management and control</w:t>
            </w:r>
            <w:r w:rsidR="00713754" w:rsidRPr="00AA5D8E">
              <w:rPr>
                <w:color w:val="auto"/>
                <w:sz w:val="16"/>
                <w:szCs w:val="16"/>
                <w:lang w:val="en-GB"/>
              </w:rPr>
              <w:t xml:space="preserve"> tests</w:t>
            </w:r>
            <w:r w:rsidRPr="00AA5D8E">
              <w:rPr>
                <w:color w:val="auto"/>
                <w:sz w:val="16"/>
                <w:szCs w:val="16"/>
                <w:lang w:val="en-GB"/>
              </w:rPr>
              <w:t xml:space="preserve"> but the latter has not yet been applied by tax authorities.</w:t>
            </w:r>
          </w:p>
        </w:tc>
      </w:tr>
    </w:tbl>
    <w:p w14:paraId="56910FE6" w14:textId="77777777" w:rsidR="00FA55B1" w:rsidRPr="00AA5D8E" w:rsidRDefault="00FA55B1" w:rsidP="00BC2E2B"/>
    <w:sectPr w:rsidR="00FA55B1" w:rsidRPr="00AA5D8E" w:rsidSect="0001240E">
      <w:headerReference w:type="default" r:id="rId16"/>
      <w:footerReference w:type="default" r:id="rId17"/>
      <w:headerReference w:type="first" r:id="rId18"/>
      <w:footerReference w:type="first" r:id="rId19"/>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EB5F9" w14:textId="77777777" w:rsidR="00CF7F2A" w:rsidRPr="006A1DAA" w:rsidRDefault="00CF7F2A">
      <w:r w:rsidRPr="006A1DAA">
        <w:separator/>
      </w:r>
    </w:p>
  </w:endnote>
  <w:endnote w:type="continuationSeparator" w:id="0">
    <w:p w14:paraId="2D86456D" w14:textId="77777777" w:rsidR="00CF7F2A" w:rsidRPr="006A1DAA" w:rsidRDefault="00CF7F2A">
      <w:r w:rsidRPr="006A1DAA">
        <w:continuationSeparator/>
      </w:r>
    </w:p>
  </w:endnote>
  <w:endnote w:type="continuationNotice" w:id="1">
    <w:p w14:paraId="22F52709" w14:textId="77777777" w:rsidR="00CF7F2A" w:rsidRDefault="00CF7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ıZˇ">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C75A23" w:rsidRPr="006A1DAA" w:rsidRDefault="00C75A23"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AA5D8E">
      <w:rPr>
        <w:rStyle w:val="PageNumber"/>
        <w:noProof/>
      </w:rPr>
      <w:t>12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C75A23" w:rsidRDefault="00CF7F2A"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C75A23" w:rsidRPr="00DB5B81">
      <w:rPr>
        <w:color w:val="FFFFFF"/>
      </w:rPr>
      <w:t>mmm</w:t>
    </w:r>
    <w:r w:rsidR="00C75A23">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65C33" w14:textId="77777777" w:rsidR="00CF7F2A" w:rsidRPr="006A1DAA" w:rsidRDefault="00CF7F2A">
      <w:r w:rsidRPr="006A1DAA">
        <w:separator/>
      </w:r>
    </w:p>
  </w:footnote>
  <w:footnote w:type="continuationSeparator" w:id="0">
    <w:p w14:paraId="5EDA26F9" w14:textId="77777777" w:rsidR="00CF7F2A" w:rsidRPr="006A1DAA" w:rsidRDefault="00CF7F2A">
      <w:r w:rsidRPr="006A1DAA">
        <w:continuationSeparator/>
      </w:r>
    </w:p>
  </w:footnote>
  <w:footnote w:type="continuationNotice" w:id="1">
    <w:p w14:paraId="537B23E5" w14:textId="77777777" w:rsidR="00CF7F2A" w:rsidRDefault="00CF7F2A"/>
  </w:footnote>
  <w:footnote w:id="2">
    <w:p w14:paraId="7CAA049E" w14:textId="32A3E873" w:rsidR="00462A07" w:rsidRPr="006079C7" w:rsidRDefault="00462A07">
      <w:pPr>
        <w:pStyle w:val="FootnoteText"/>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expressed disagreement with NTE’s answer, stating that that Portugal does not offer any special offshore regime</w:t>
      </w:r>
      <w:r w:rsidR="006079C7">
        <w:rPr>
          <w:sz w:val="16"/>
          <w:szCs w:val="16"/>
          <w:lang w:val="en-US"/>
        </w:rPr>
        <w:t>. The representatives further explained their answer stating</w:t>
      </w:r>
      <w:r w:rsidRPr="006079C7">
        <w:rPr>
          <w:sz w:val="16"/>
          <w:szCs w:val="16"/>
          <w:lang w:val="en-US"/>
        </w:rPr>
        <w:t>: “</w:t>
      </w:r>
      <w:r w:rsidRPr="00AA5D8E">
        <w:rPr>
          <w:i/>
          <w:sz w:val="16"/>
          <w:szCs w:val="16"/>
          <w:lang w:val="en-US"/>
        </w:rPr>
        <w:t>Portugal does not have special offshore tax regimes. There is only a regime open both to residents and non-residents entities that is classified as a state aid regime: the Madeira free trade zone (Zona Franca da Madeira). This special tax regime was first approved by the European Commission in 1987 and consists of operating aid in the form of some tax advantages, applicable to companies licensed to operate in a special economic zone.</w:t>
      </w:r>
      <w:r w:rsidRPr="00AA5D8E">
        <w:rPr>
          <w:i/>
          <w:sz w:val="16"/>
          <w:szCs w:val="16"/>
        </w:rPr>
        <w:t xml:space="preserve"> </w:t>
      </w:r>
      <w:r w:rsidRPr="00AA5D8E">
        <w:rPr>
          <w:i/>
          <w:sz w:val="16"/>
          <w:szCs w:val="16"/>
          <w:lang w:val="en-US"/>
        </w:rPr>
        <w:t>Under article 33º para. 4 and 5 a) of the Tax Benefits Statute interest on loans paid by entities located in that free trade zone is exempt from corporation income tax (CIT) provided that such loans have the purpose of financing investments and the normal functioning of the borrowers within the scope of the free trade zone. Royalties income obtain by non-resident entities is also exempted from CIT provided that such income is related to activity developed by entities licensed and within in the Madeira’s free trade</w:t>
      </w:r>
      <w:r w:rsidRPr="006079C7">
        <w:rPr>
          <w:sz w:val="16"/>
          <w:szCs w:val="16"/>
          <w:lang w:val="en-US"/>
        </w:rPr>
        <w:t xml:space="preserve">”  </w:t>
      </w:r>
    </w:p>
  </w:footnote>
  <w:footnote w:id="3">
    <w:p w14:paraId="66F1B5BD" w14:textId="0D51634B" w:rsidR="005F61E7" w:rsidRPr="006079C7" w:rsidRDefault="005F61E7">
      <w:pPr>
        <w:pStyle w:val="FootnoteText"/>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 xml:space="preserve">In country validation process the representatives of the MS </w:t>
      </w:r>
      <w:r w:rsidR="00717CA6">
        <w:rPr>
          <w:sz w:val="16"/>
          <w:szCs w:val="16"/>
          <w:lang w:val="en-US"/>
        </w:rPr>
        <w:t>additionally pointed out that</w:t>
      </w:r>
      <w:r w:rsidRPr="006079C7">
        <w:rPr>
          <w:sz w:val="16"/>
          <w:szCs w:val="16"/>
          <w:lang w:val="en-US"/>
        </w:rPr>
        <w:t>: “</w:t>
      </w:r>
      <w:r w:rsidRPr="00AA5D8E">
        <w:rPr>
          <w:i/>
          <w:sz w:val="16"/>
          <w:szCs w:val="16"/>
          <w:lang w:val="en-US"/>
        </w:rPr>
        <w:t>This regime applies to direct or direct and indirect minimum 5% participations in share capital or in voting rights, held for a minimum period of 24 months. The subsidiary should meet the “subject to tax” test, implying a minimum 12.6% nominal corporate income tax rate for subsidiaries in non-EU countries</w:t>
      </w:r>
      <w:r w:rsidRPr="006079C7">
        <w:rPr>
          <w:sz w:val="16"/>
          <w:szCs w:val="16"/>
          <w:lang w:val="en-US"/>
        </w:rPr>
        <w:t>”.</w:t>
      </w:r>
    </w:p>
  </w:footnote>
  <w:footnote w:id="4">
    <w:p w14:paraId="14667BEB" w14:textId="340648E5" w:rsidR="005F61E7" w:rsidRPr="006079C7" w:rsidRDefault="005F61E7" w:rsidP="005F61E7">
      <w:pPr>
        <w:rPr>
          <w:color w:val="auto"/>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elaborated the answer by NTE stating: “</w:t>
      </w:r>
      <w:r w:rsidRPr="006079C7">
        <w:rPr>
          <w:color w:val="auto"/>
          <w:sz w:val="16"/>
          <w:szCs w:val="16"/>
          <w:lang w:val="en-US"/>
        </w:rPr>
        <w:t>In case of dividends not entitled to exemption, a credit for double taxation on withholding tax applied to the dividends, may be granted, cf. articles 91 and 91-A of the CIRC.”</w:t>
      </w:r>
    </w:p>
    <w:p w14:paraId="35E06064" w14:textId="12A66467" w:rsidR="005F61E7" w:rsidRPr="006079C7" w:rsidRDefault="005F61E7" w:rsidP="005F61E7">
      <w:pPr>
        <w:pStyle w:val="FootnoteText"/>
        <w:rPr>
          <w:sz w:val="16"/>
          <w:szCs w:val="16"/>
          <w:lang w:val="en-US"/>
        </w:rPr>
      </w:pPr>
    </w:p>
  </w:footnote>
  <w:footnote w:id="5">
    <w:p w14:paraId="1C5569FF" w14:textId="30F51147" w:rsidR="005F61E7" w:rsidRPr="006079C7" w:rsidRDefault="005F61E7">
      <w:pPr>
        <w:pStyle w:val="FootnoteText"/>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expressed conflicting opinion stating that: “</w:t>
      </w:r>
      <w:r w:rsidRPr="006079C7">
        <w:rPr>
          <w:color w:val="auto"/>
          <w:sz w:val="16"/>
          <w:szCs w:val="16"/>
        </w:rPr>
        <w:t xml:space="preserve">The participation exemption regime may be denied under the application of the general anti-avoidance rule on a case-by-case basis (cf. article 38, para. 2 of the </w:t>
      </w:r>
      <w:r w:rsidRPr="006079C7">
        <w:rPr>
          <w:color w:val="auto"/>
          <w:sz w:val="16"/>
          <w:szCs w:val="16"/>
          <w:lang w:val="en-US"/>
        </w:rPr>
        <w:t>General Tax Law</w:t>
      </w:r>
      <w:r w:rsidRPr="00717CA6">
        <w:rPr>
          <w:color w:val="auto"/>
          <w:sz w:val="16"/>
          <w:szCs w:val="16"/>
          <w:lang w:val="en-US"/>
        </w:rPr>
        <w:t>)</w:t>
      </w:r>
      <w:r w:rsidRPr="00717CA6">
        <w:rPr>
          <w:color w:val="auto"/>
          <w:sz w:val="16"/>
          <w:szCs w:val="16"/>
        </w:rPr>
        <w:t>.</w:t>
      </w:r>
      <w:r w:rsidRPr="00717CA6">
        <w:rPr>
          <w:sz w:val="16"/>
          <w:szCs w:val="16"/>
          <w:lang w:val="en-US"/>
        </w:rPr>
        <w:t>”</w:t>
      </w:r>
    </w:p>
  </w:footnote>
  <w:footnote w:id="6">
    <w:p w14:paraId="3B684746" w14:textId="3D55F332" w:rsidR="00C75A23" w:rsidRPr="006079C7" w:rsidRDefault="00C75A23">
      <w:pPr>
        <w:pStyle w:val="FootnoteText"/>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elaborated the answer stating: “</w:t>
      </w:r>
      <w:r w:rsidRPr="00AA5D8E">
        <w:rPr>
          <w:i/>
          <w:color w:val="auto"/>
          <w:sz w:val="16"/>
          <w:szCs w:val="16"/>
        </w:rPr>
        <w:t>Portuguese tax law does not allow income from “hybrid loans” to be treated as dividends, so they cannot benefit of the participation exemption regime.</w:t>
      </w:r>
      <w:r w:rsidRPr="006079C7">
        <w:rPr>
          <w:color w:val="auto"/>
          <w:sz w:val="16"/>
          <w:szCs w:val="16"/>
        </w:rPr>
        <w:t>”</w:t>
      </w:r>
    </w:p>
  </w:footnote>
  <w:footnote w:id="7">
    <w:p w14:paraId="2620981B" w14:textId="3B0E37CF" w:rsidR="00C75A23" w:rsidRPr="006079C7" w:rsidRDefault="00C75A23" w:rsidP="006079C7">
      <w:pPr>
        <w:rPr>
          <w:color w:val="auto"/>
          <w:sz w:val="16"/>
          <w:szCs w:val="16"/>
        </w:rPr>
      </w:pPr>
      <w:r w:rsidRPr="006079C7">
        <w:rPr>
          <w:rStyle w:val="FootnoteReference"/>
          <w:sz w:val="16"/>
          <w:szCs w:val="16"/>
        </w:rPr>
        <w:footnoteRef/>
      </w:r>
      <w:r w:rsidRPr="006079C7">
        <w:rPr>
          <w:sz w:val="16"/>
          <w:szCs w:val="16"/>
        </w:rPr>
        <w:t xml:space="preserve"> </w:t>
      </w:r>
      <w:r w:rsidRPr="006079C7">
        <w:rPr>
          <w:sz w:val="16"/>
          <w:szCs w:val="16"/>
          <w:lang w:val="en-US"/>
        </w:rPr>
        <w:t xml:space="preserve">In country validation process the representatives of the MS </w:t>
      </w:r>
      <w:r w:rsidR="00717CA6">
        <w:rPr>
          <w:sz w:val="16"/>
          <w:szCs w:val="16"/>
          <w:lang w:val="en-US"/>
        </w:rPr>
        <w:t>elaborated on the answer stating that</w:t>
      </w:r>
      <w:r w:rsidRPr="006079C7">
        <w:rPr>
          <w:sz w:val="16"/>
          <w:szCs w:val="16"/>
          <w:lang w:val="en-US"/>
        </w:rPr>
        <w:t>: “</w:t>
      </w:r>
      <w:r w:rsidRPr="00AA5D8E">
        <w:rPr>
          <w:i/>
          <w:color w:val="auto"/>
          <w:sz w:val="16"/>
          <w:szCs w:val="16"/>
        </w:rPr>
        <w:t>However, the limitation of tax deductibility applies to the all the expenses connected with the remuneration of debt, deducted from income of the same nature, such as: Interest on bank overdrafts; Interest on short-term and long-term borrowings; Interest from bonds and similar financial products; Amortization of discounts or premiums related to borrowings; Amortization of ancillary costs incurred in connection with the arrangement of borrowings; Financial charges in respect of finance leases; and Exchange differences arising from foreign currency borrowings</w:t>
      </w:r>
      <w:r w:rsidRPr="006079C7">
        <w:rPr>
          <w:color w:val="auto"/>
          <w:sz w:val="16"/>
          <w:szCs w:val="16"/>
        </w:rPr>
        <w:t>”</w:t>
      </w:r>
    </w:p>
  </w:footnote>
  <w:footnote w:id="8">
    <w:p w14:paraId="54A4ABC8" w14:textId="77777777" w:rsidR="00C75A23" w:rsidRPr="00AA5D8E" w:rsidRDefault="00C75A23" w:rsidP="00C75A23">
      <w:pPr>
        <w:rPr>
          <w:i/>
          <w:color w:val="auto"/>
          <w:sz w:val="16"/>
          <w:szCs w:val="16"/>
        </w:rPr>
      </w:pPr>
      <w:r w:rsidRPr="006079C7">
        <w:rPr>
          <w:rStyle w:val="FootnoteReference"/>
          <w:sz w:val="16"/>
          <w:szCs w:val="16"/>
        </w:rPr>
        <w:footnoteRef/>
      </w:r>
      <w:r w:rsidRPr="006079C7">
        <w:rPr>
          <w:sz w:val="16"/>
          <w:szCs w:val="16"/>
        </w:rPr>
        <w:t xml:space="preserve"> </w:t>
      </w:r>
      <w:r w:rsidRPr="006079C7">
        <w:rPr>
          <w:sz w:val="16"/>
          <w:szCs w:val="16"/>
          <w:lang w:val="en-US"/>
        </w:rPr>
        <w:t xml:space="preserve">In country validation process the representatives of the MS elaborated the answer stating: </w:t>
      </w:r>
      <w:r w:rsidRPr="00AA5D8E">
        <w:rPr>
          <w:i/>
          <w:sz w:val="16"/>
          <w:szCs w:val="16"/>
          <w:lang w:val="en-US"/>
        </w:rPr>
        <w:t>“</w:t>
      </w:r>
      <w:r w:rsidRPr="00AA5D8E">
        <w:rPr>
          <w:i/>
          <w:color w:val="auto"/>
          <w:sz w:val="16"/>
          <w:szCs w:val="16"/>
        </w:rPr>
        <w:t>However, the dominant company may opt to apply the limitation mentioned above taking in consideration the following:</w:t>
      </w:r>
    </w:p>
    <w:p w14:paraId="750D4A42" w14:textId="73F6DCA6" w:rsidR="00C75A23" w:rsidRPr="006079C7" w:rsidRDefault="00C75A23" w:rsidP="006079C7">
      <w:pPr>
        <w:rPr>
          <w:color w:val="auto"/>
          <w:sz w:val="16"/>
          <w:szCs w:val="16"/>
        </w:rPr>
      </w:pPr>
      <w:r w:rsidRPr="00AA5D8E">
        <w:rPr>
          <w:i/>
          <w:color w:val="auto"/>
          <w:sz w:val="16"/>
          <w:szCs w:val="16"/>
        </w:rPr>
        <w:t>• The group’s net financial expenses tax deductibility will be limited to € 1,000,000, independently of the number of the companies within the tax group or, if higher, to the percentage limit based on the earnings before depreciations, net financing expenses and taxes of the total number of companies included in the tax group;• The net financing expenses non-deducted by the companies included in the tax group before it has been created and that have not been deducted can only be considered up to the limits applicable to that companies individually;• The unused limit that had not been used by the companies before the application of the tax group regime can only increase the maximum amount of the financial net expenses of each company, computed individually;• The net financing expenses and the unused limit computed within the tax group can only be used by the tax group.</w:t>
      </w:r>
      <w:r w:rsidR="00717CA6" w:rsidRPr="00AA5D8E">
        <w:rPr>
          <w:i/>
          <w:color w:val="auto"/>
          <w:sz w:val="16"/>
          <w:szCs w:val="16"/>
        </w:rPr>
        <w:t xml:space="preserve"> </w:t>
      </w:r>
      <w:r w:rsidRPr="00AA5D8E">
        <w:rPr>
          <w:i/>
          <w:color w:val="auto"/>
          <w:sz w:val="16"/>
          <w:szCs w:val="16"/>
        </w:rPr>
        <w:t>The option should be maintained for a minimum 3 years period, and must be reported to the Tax Authority up to the end of the third month of the tax period in which it is intended to apply the option.</w:t>
      </w:r>
      <w:r w:rsidR="00AA250B">
        <w:rPr>
          <w:color w:val="auto"/>
          <w:sz w:val="16"/>
          <w:szCs w:val="16"/>
        </w:rPr>
        <w:t>"</w:t>
      </w:r>
    </w:p>
  </w:footnote>
  <w:footnote w:id="9">
    <w:p w14:paraId="3FB7CB1E" w14:textId="77777777" w:rsidR="00C75A23" w:rsidRPr="00AA5D8E" w:rsidRDefault="00C75A23" w:rsidP="00E30EB9">
      <w:pPr>
        <w:rPr>
          <w:i/>
          <w:color w:val="auto"/>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elaborated the answer stating: “</w:t>
      </w:r>
      <w:r w:rsidRPr="00AA5D8E">
        <w:rPr>
          <w:i/>
          <w:color w:val="auto"/>
          <w:sz w:val="16"/>
          <w:szCs w:val="16"/>
          <w:lang w:val="en-US"/>
        </w:rPr>
        <w:t>Qualifying IP are only patents and industrial designs or models subject to registration after January 1, 2014 (trademarks, copyrights of literary, artistic or scientific work, image rights, or any other rights or assets different from patents and industrial models or designs would not be eligible for the tax benefit).</w:t>
      </w:r>
    </w:p>
    <w:p w14:paraId="2BCF20B7" w14:textId="4426E86B" w:rsidR="00C75A23" w:rsidRPr="006079C7" w:rsidRDefault="00C75A23" w:rsidP="006079C7">
      <w:pPr>
        <w:rPr>
          <w:color w:val="auto"/>
          <w:sz w:val="16"/>
          <w:szCs w:val="16"/>
          <w:lang w:val="en-US"/>
        </w:rPr>
      </w:pPr>
      <w:r w:rsidRPr="00AA5D8E">
        <w:rPr>
          <w:i/>
          <w:color w:val="auto"/>
          <w:sz w:val="16"/>
          <w:szCs w:val="16"/>
          <w:lang w:val="en-US"/>
        </w:rPr>
        <w:t>IP acquired from other entity, related or not with the taxable person that claims the benefits, are not qualified. The sale or transfer of qualifying IP do not fall within the regime</w:t>
      </w:r>
      <w:r w:rsidRPr="006079C7">
        <w:rPr>
          <w:color w:val="auto"/>
          <w:sz w:val="16"/>
          <w:szCs w:val="16"/>
          <w:lang w:val="en-US"/>
        </w:rPr>
        <w:t>”</w:t>
      </w:r>
    </w:p>
  </w:footnote>
  <w:footnote w:id="10">
    <w:p w14:paraId="114B8233" w14:textId="00250AE7" w:rsidR="00C75A23" w:rsidRPr="006079C7" w:rsidRDefault="00C75A23" w:rsidP="006079C7">
      <w:pPr>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 xml:space="preserve">In country validation process the representatives of the MS </w:t>
      </w:r>
      <w:r w:rsidR="006079C7">
        <w:rPr>
          <w:sz w:val="16"/>
          <w:szCs w:val="16"/>
          <w:lang w:val="en-US"/>
        </w:rPr>
        <w:t>additionally pointed out that</w:t>
      </w:r>
      <w:r w:rsidRPr="006079C7">
        <w:rPr>
          <w:sz w:val="16"/>
          <w:szCs w:val="16"/>
          <w:lang w:val="en-US"/>
        </w:rPr>
        <w:t>: “</w:t>
      </w:r>
      <w:r w:rsidRPr="00AA5D8E">
        <w:rPr>
          <w:i/>
          <w:color w:val="auto"/>
          <w:sz w:val="16"/>
          <w:szCs w:val="16"/>
          <w:lang w:val="en-US"/>
        </w:rPr>
        <w:t xml:space="preserve">To counteract abuse, amongst the requirements to apply the benefit are: (i)Qualifying IP must be developed by the taxable person that claims the benefit (by itself or through contract);(ii)The licensee must effectively use the IP rights assigned in the pursuit of an activity of commercial, industrial or agricultural nature;(iii) If the licensee is a related company, the IP cannot be used to create deductible expenses for the taxpayer or any other company belonging to the same group;(iv) The licensee cannot be an entity with its domicile in a country, territory or region subject to a clearly more </w:t>
      </w:r>
      <w:r w:rsidR="006079C7" w:rsidRPr="00AA5D8E">
        <w:rPr>
          <w:i/>
          <w:color w:val="auto"/>
          <w:sz w:val="16"/>
          <w:szCs w:val="16"/>
          <w:lang w:val="en-US"/>
        </w:rPr>
        <w:t>favorable</w:t>
      </w:r>
      <w:r w:rsidRPr="00AA5D8E">
        <w:rPr>
          <w:i/>
          <w:color w:val="auto"/>
          <w:sz w:val="16"/>
          <w:szCs w:val="16"/>
          <w:lang w:val="en-US"/>
        </w:rPr>
        <w:t xml:space="preserve"> regime (blacklisted jurisdiction)</w:t>
      </w:r>
      <w:r w:rsidRPr="006079C7">
        <w:rPr>
          <w:color w:val="auto"/>
          <w:sz w:val="16"/>
          <w:szCs w:val="16"/>
          <w:lang w:val="en-US"/>
        </w:rPr>
        <w:t>”.</w:t>
      </w:r>
    </w:p>
  </w:footnote>
  <w:footnote w:id="11">
    <w:p w14:paraId="13FF6C06" w14:textId="28200108" w:rsidR="00C75A23" w:rsidRPr="006079C7" w:rsidRDefault="00C75A23">
      <w:pPr>
        <w:pStyle w:val="FootnoteText"/>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In country validation process the representatives of the MS elaborated the answer stating: “</w:t>
      </w:r>
      <w:r w:rsidRPr="00AA5D8E">
        <w:rPr>
          <w:i/>
          <w:sz w:val="16"/>
          <w:szCs w:val="16"/>
        </w:rPr>
        <w:t>Specific tax incentives for R&amp;D activities can be granted in  Portugal under the so</w:t>
      </w:r>
      <w:r w:rsidR="006079C7" w:rsidRPr="00AA5D8E">
        <w:rPr>
          <w:i/>
          <w:sz w:val="16"/>
          <w:szCs w:val="16"/>
        </w:rPr>
        <w:t>-</w:t>
      </w:r>
      <w:r w:rsidRPr="00AA5D8E">
        <w:rPr>
          <w:i/>
          <w:sz w:val="16"/>
          <w:szCs w:val="16"/>
        </w:rPr>
        <w:t>called SIFIDE II - Sistema de Incentivos Fiscais em Investigação e Desenvolvimento Empresarial (see Investment Tax Code, articles 33 to 40), which provides enhanced tax deduction for research expenditures (incurred for acquiring new scientific or technological knowledge), development expenditures (concerned with exploitation of research results with a view to get new (or to significantly improve) raw materials, products, services  or manufacturing processes) and for current wage expenditures with R&amp;D personnel. This incentives system is managed by an independent authority (National Innovation Agency) and companies should submit their R&amp;D expenditures in the previous year, in order to get the tax deduction provided by SIFIDE II.</w:t>
      </w:r>
      <w:r w:rsidRPr="006079C7">
        <w:rPr>
          <w:sz w:val="16"/>
          <w:szCs w:val="16"/>
        </w:rPr>
        <w:t>”</w:t>
      </w:r>
    </w:p>
  </w:footnote>
  <w:footnote w:id="12">
    <w:p w14:paraId="48DA488B" w14:textId="69D287CC" w:rsidR="00C75A23" w:rsidRPr="006079C7" w:rsidRDefault="00C75A23">
      <w:pPr>
        <w:pStyle w:val="FootnoteText"/>
        <w:rPr>
          <w:sz w:val="16"/>
          <w:szCs w:val="16"/>
          <w:lang w:val="en-US"/>
        </w:rPr>
      </w:pPr>
      <w:r w:rsidRPr="006079C7">
        <w:rPr>
          <w:rStyle w:val="FootnoteReference"/>
          <w:sz w:val="16"/>
          <w:szCs w:val="16"/>
        </w:rPr>
        <w:footnoteRef/>
      </w:r>
      <w:r w:rsidRPr="006079C7">
        <w:rPr>
          <w:sz w:val="16"/>
          <w:szCs w:val="16"/>
        </w:rPr>
        <w:t xml:space="preserve"> </w:t>
      </w:r>
      <w:r w:rsidRPr="006079C7">
        <w:rPr>
          <w:sz w:val="16"/>
          <w:szCs w:val="16"/>
          <w:lang w:val="en-US"/>
        </w:rPr>
        <w:t xml:space="preserve">In country validation process the representatives of the MS </w:t>
      </w:r>
      <w:r w:rsidR="006079C7">
        <w:rPr>
          <w:sz w:val="16"/>
          <w:szCs w:val="16"/>
          <w:lang w:val="en-US"/>
        </w:rPr>
        <w:t xml:space="preserve">expressed disagreement with NTE’s answer, </w:t>
      </w:r>
      <w:r w:rsidRPr="006079C7">
        <w:rPr>
          <w:sz w:val="16"/>
          <w:szCs w:val="16"/>
          <w:lang w:val="en-US"/>
        </w:rPr>
        <w:t xml:space="preserve">providing the following </w:t>
      </w:r>
      <w:r w:rsidR="006079C7">
        <w:rPr>
          <w:sz w:val="16"/>
          <w:szCs w:val="16"/>
          <w:lang w:val="en-US"/>
        </w:rPr>
        <w:t>explanation</w:t>
      </w:r>
      <w:r w:rsidRPr="006079C7">
        <w:rPr>
          <w:sz w:val="16"/>
          <w:szCs w:val="16"/>
          <w:lang w:val="en-US"/>
        </w:rPr>
        <w:t>: “</w:t>
      </w:r>
      <w:r w:rsidRPr="00AA5D8E">
        <w:rPr>
          <w:i/>
          <w:color w:val="auto"/>
          <w:sz w:val="16"/>
          <w:szCs w:val="16"/>
        </w:rPr>
        <w:t>No. The  capital gains derived from the transfer of the ownership of patents, trademarks and other IP rights is always subject to corporate income tax. The capital gains derived from such transaction should comply with the arm’s length principle (See articles 46 and 63 of the CIRC).</w:t>
      </w:r>
      <w:r w:rsidRPr="006079C7">
        <w:rPr>
          <w:color w:val="auto"/>
          <w:sz w:val="16"/>
          <w:szCs w:val="16"/>
        </w:rPr>
        <w:t>”</w:t>
      </w:r>
    </w:p>
  </w:footnote>
  <w:footnote w:id="13">
    <w:p w14:paraId="78DF83C0" w14:textId="3E886DC0" w:rsidR="00C75A23" w:rsidRPr="006079C7" w:rsidRDefault="00C75A23" w:rsidP="003B3CD1">
      <w:pPr>
        <w:pStyle w:val="FootnoteText"/>
        <w:rPr>
          <w:sz w:val="16"/>
          <w:szCs w:val="16"/>
        </w:rPr>
      </w:pPr>
      <w:r w:rsidRPr="006079C7">
        <w:rPr>
          <w:rStyle w:val="FootnoteReference"/>
          <w:sz w:val="16"/>
          <w:szCs w:val="16"/>
        </w:rPr>
        <w:footnoteRef/>
      </w:r>
      <w:r w:rsidRPr="006079C7">
        <w:rPr>
          <w:sz w:val="16"/>
          <w:szCs w:val="16"/>
        </w:rPr>
        <w:t xml:space="preserve"> In country validation process the representative of MS elaborated the answer given by NTE addin</w:t>
      </w:r>
      <w:r w:rsidR="006079C7">
        <w:rPr>
          <w:sz w:val="16"/>
          <w:szCs w:val="16"/>
        </w:rPr>
        <w:t>g</w:t>
      </w:r>
      <w:r w:rsidRPr="006079C7">
        <w:rPr>
          <w:sz w:val="16"/>
          <w:szCs w:val="16"/>
        </w:rPr>
        <w:t>:</w:t>
      </w:r>
      <w:r w:rsidR="006079C7">
        <w:rPr>
          <w:sz w:val="16"/>
          <w:szCs w:val="16"/>
        </w:rPr>
        <w:t xml:space="preserve"> </w:t>
      </w:r>
      <w:r w:rsidRPr="006079C7">
        <w:rPr>
          <w:sz w:val="16"/>
          <w:szCs w:val="16"/>
        </w:rPr>
        <w:t>“Moreover, this regime does not apply to non-resident entities that simultaneously meet the following conditions:</w:t>
      </w:r>
    </w:p>
    <w:p w14:paraId="31CE50E4" w14:textId="77777777" w:rsidR="00C75A23" w:rsidRPr="006079C7" w:rsidRDefault="00C75A23" w:rsidP="003B3CD1">
      <w:pPr>
        <w:pStyle w:val="FootnoteText"/>
        <w:rPr>
          <w:sz w:val="16"/>
          <w:szCs w:val="16"/>
        </w:rPr>
      </w:pPr>
      <w:r w:rsidRPr="006079C7">
        <w:rPr>
          <w:sz w:val="16"/>
          <w:szCs w:val="16"/>
        </w:rPr>
        <w:t>-</w:t>
      </w:r>
      <w:r w:rsidRPr="006079C7">
        <w:rPr>
          <w:sz w:val="16"/>
          <w:szCs w:val="16"/>
        </w:rPr>
        <w:tab/>
        <w:t>75% of profits or income is derived from an agricultural or industrial activity or from a commercial or rendering of services activity that are not mainly targeted to the Portuguese market;</w:t>
      </w:r>
    </w:p>
    <w:p w14:paraId="53020322" w14:textId="77777777" w:rsidR="00C75A23" w:rsidRPr="006079C7" w:rsidRDefault="00C75A23" w:rsidP="003B3CD1">
      <w:pPr>
        <w:pStyle w:val="FootnoteText"/>
        <w:rPr>
          <w:sz w:val="16"/>
          <w:szCs w:val="16"/>
        </w:rPr>
      </w:pPr>
      <w:r w:rsidRPr="006079C7">
        <w:rPr>
          <w:sz w:val="16"/>
          <w:szCs w:val="16"/>
        </w:rPr>
        <w:t>-</w:t>
      </w:r>
      <w:r w:rsidRPr="006079C7">
        <w:rPr>
          <w:sz w:val="16"/>
          <w:szCs w:val="16"/>
        </w:rPr>
        <w:tab/>
        <w:t>the main activity of the non-resident entity does not consist of:</w:t>
      </w:r>
    </w:p>
    <w:p w14:paraId="0F3F140F" w14:textId="77777777" w:rsidR="00C75A23" w:rsidRPr="006079C7" w:rsidRDefault="00C75A23" w:rsidP="003B3CD1">
      <w:pPr>
        <w:pStyle w:val="FootnoteText"/>
        <w:rPr>
          <w:sz w:val="16"/>
          <w:szCs w:val="16"/>
        </w:rPr>
      </w:pPr>
      <w:r w:rsidRPr="006079C7">
        <w:rPr>
          <w:sz w:val="16"/>
          <w:szCs w:val="16"/>
        </w:rPr>
        <w:t>(i) banking or insurance operations;</w:t>
      </w:r>
    </w:p>
    <w:p w14:paraId="01F13BB9" w14:textId="77A97CE9" w:rsidR="00C75A23" w:rsidRPr="006079C7" w:rsidRDefault="00C75A23" w:rsidP="003B3CD1">
      <w:pPr>
        <w:pStyle w:val="FootnoteText"/>
        <w:rPr>
          <w:sz w:val="16"/>
          <w:szCs w:val="16"/>
        </w:rPr>
      </w:pPr>
      <w:r w:rsidRPr="006079C7">
        <w:rPr>
          <w:sz w:val="16"/>
          <w:szCs w:val="16"/>
        </w:rPr>
        <w:t>(ii) operations related to shareholdings that represent less than 5% of the share capital or of the voting rights, or shareholdings in companies residents in more favo</w:t>
      </w:r>
      <w:r w:rsidR="00AA250B">
        <w:rPr>
          <w:sz w:val="16"/>
          <w:szCs w:val="16"/>
        </w:rPr>
        <w:t>u</w:t>
      </w:r>
      <w:r w:rsidRPr="006079C7">
        <w:rPr>
          <w:sz w:val="16"/>
          <w:szCs w:val="16"/>
        </w:rPr>
        <w:t>rable tax regimes (so considered by the Portuguese legislation) or other securities, intellectual or industrial property, or information concerning industrial, commercial or scientific experience or technical assistance services; or</w:t>
      </w:r>
    </w:p>
    <w:p w14:paraId="4BF18A01" w14:textId="1E8CEB7F" w:rsidR="00C75A23" w:rsidRPr="006079C7" w:rsidRDefault="00C75A23" w:rsidP="003B3CD1">
      <w:pPr>
        <w:pStyle w:val="FootnoteText"/>
        <w:rPr>
          <w:sz w:val="16"/>
          <w:szCs w:val="16"/>
          <w:lang w:val="en-US"/>
        </w:rPr>
      </w:pPr>
      <w:r w:rsidRPr="006079C7">
        <w:rPr>
          <w:sz w:val="16"/>
          <w:szCs w:val="16"/>
        </w:rPr>
        <w:t>(iii) leasing of assets except when related to real estate located in the territory of residence of the non-resident entity.</w:t>
      </w:r>
    </w:p>
  </w:footnote>
  <w:footnote w:id="14">
    <w:p w14:paraId="6B81D16F" w14:textId="7B23D118" w:rsidR="00C75A23" w:rsidRPr="006079C7" w:rsidRDefault="00C75A23" w:rsidP="003B3CD1">
      <w:pPr>
        <w:pStyle w:val="FootnoteText"/>
        <w:rPr>
          <w:sz w:val="16"/>
          <w:szCs w:val="16"/>
          <w:lang w:val="en-US"/>
        </w:rPr>
      </w:pPr>
      <w:r w:rsidRPr="006079C7">
        <w:rPr>
          <w:rStyle w:val="FootnoteReference"/>
          <w:sz w:val="16"/>
          <w:szCs w:val="16"/>
        </w:rPr>
        <w:footnoteRef/>
      </w:r>
      <w:r w:rsidRPr="006079C7">
        <w:rPr>
          <w:sz w:val="16"/>
          <w:szCs w:val="16"/>
        </w:rPr>
        <w:t xml:space="preserve"> In country validation process the representative of MS elaborated the answer given by NTE stating that “</w:t>
      </w:r>
      <w:r w:rsidRPr="00AA5D8E">
        <w:rPr>
          <w:i/>
          <w:sz w:val="16"/>
          <w:szCs w:val="16"/>
        </w:rPr>
        <w:t>Taxpayers can only apply to the Tax Authority in order to conclude an agreement which set, by advance, the method or methods that can ensure the determination of terms and conditions that would normally be agreed, accepted or practiced between independent entities. The advance price agreement must be request to the General-Director of the Tax Authority and the elements contained in the agreement must specify the particular method or accepted methods, transactions covered, the underlying assumptions, the conditions for revision, revocation and renewal and the duration, which may not exceed three years. All the procedures, information and documentation related to the conclusion of the agreements are regulated with strict adherence to the UE and the OECD guidelines by order of the Minister of Finance (see Ministerial Order [Portaria] no. 620-A/2008, of 16 July).</w:t>
      </w:r>
      <w:r w:rsidRPr="006079C7">
        <w:rPr>
          <w:sz w:val="16"/>
          <w:szCs w:val="16"/>
        </w:rPr>
        <w:t>”</w:t>
      </w:r>
    </w:p>
  </w:footnote>
  <w:footnote w:id="15">
    <w:p w14:paraId="626C1E86" w14:textId="3FF3E81F" w:rsidR="00C75A23" w:rsidRPr="006079C7" w:rsidRDefault="00C75A23">
      <w:pPr>
        <w:pStyle w:val="FootnoteText"/>
        <w:rPr>
          <w:sz w:val="16"/>
          <w:szCs w:val="16"/>
          <w:lang w:val="en-US"/>
        </w:rPr>
      </w:pPr>
      <w:r w:rsidRPr="006079C7">
        <w:rPr>
          <w:rStyle w:val="FootnoteReference"/>
          <w:sz w:val="16"/>
          <w:szCs w:val="16"/>
        </w:rPr>
        <w:footnoteRef/>
      </w:r>
      <w:r w:rsidRPr="006079C7">
        <w:rPr>
          <w:sz w:val="16"/>
          <w:szCs w:val="16"/>
        </w:rPr>
        <w:t xml:space="preserve"> In country validation process it was additionally pointed out by the representative of MS that </w:t>
      </w:r>
      <w:r w:rsidRPr="00AA5D8E">
        <w:rPr>
          <w:i/>
          <w:sz w:val="16"/>
          <w:szCs w:val="16"/>
        </w:rPr>
        <w:t xml:space="preserve">“Court decisions that have been issued in respect to GAAR provision are very few and mainly connected with evidence issues, since the application of the GAAR must follow a procedural rule establish in the Tax Procedure and Proceedings Code which provides that it is for the Tax Authority to prove that the requirements </w:t>
      </w:r>
      <w:bookmarkStart w:id="0" w:name="_GoBack"/>
      <w:bookmarkEnd w:id="0"/>
      <w:r w:rsidRPr="00AA5D8E">
        <w:rPr>
          <w:i/>
          <w:sz w:val="16"/>
          <w:szCs w:val="16"/>
        </w:rPr>
        <w:t>that trigger the consequences set out in the GAAR have been met</w:t>
      </w:r>
      <w:r w:rsidRPr="006079C7">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C75A23" w:rsidRDefault="00C75A23" w:rsidP="00E6337A">
    <w:pPr>
      <w:pStyle w:val="Footer"/>
      <w:tabs>
        <w:tab w:val="clear" w:pos="8306"/>
        <w:tab w:val="right" w:pos="8820"/>
      </w:tabs>
      <w:ind w:right="3027"/>
      <w:jc w:val="right"/>
      <w:rPr>
        <w:rFonts w:cs="Arial"/>
        <w:b/>
        <w:i w:val="0"/>
        <w:noProof/>
        <w:color w:val="auto"/>
        <w:w w:val="80"/>
        <w:szCs w:val="16"/>
      </w:rPr>
    </w:pPr>
  </w:p>
  <w:p w14:paraId="52FE63E3" w14:textId="77777777" w:rsidR="00C75A23" w:rsidRDefault="00C75A23" w:rsidP="00E6337A">
    <w:pPr>
      <w:pStyle w:val="Footer"/>
      <w:tabs>
        <w:tab w:val="clear" w:pos="8306"/>
        <w:tab w:val="right" w:pos="8820"/>
      </w:tabs>
      <w:ind w:right="3027"/>
      <w:jc w:val="right"/>
      <w:rPr>
        <w:rFonts w:cs="Arial"/>
        <w:b/>
        <w:i w:val="0"/>
        <w:noProof/>
        <w:color w:val="auto"/>
        <w:w w:val="80"/>
        <w:szCs w:val="16"/>
      </w:rPr>
    </w:pPr>
  </w:p>
  <w:p w14:paraId="044ACB91" w14:textId="3E6FAE10" w:rsidR="00C75A23" w:rsidRPr="00BD2FBC" w:rsidRDefault="00CF7F2A"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C75A23" w:rsidRPr="00B04590">
      <w:rPr>
        <w:rStyle w:val="HeaderChar"/>
      </w:rPr>
      <w:t xml:space="preserve"> </w:t>
    </w:r>
    <w:r w:rsidR="00C75A23">
      <w:rPr>
        <w:rStyle w:val="HeaderChar"/>
      </w:rPr>
      <w:t>Questionnaire - Portugal</w:t>
    </w:r>
  </w:p>
  <w:p w14:paraId="447033D2" w14:textId="77777777" w:rsidR="00C75A23" w:rsidRDefault="00C75A23"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C75A23" w:rsidRDefault="00CF7F2A"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AA5D8E">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59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C75A23" w:rsidRDefault="00CF7F2A"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8A64ABC"/>
    <w:multiLevelType w:val="hybridMultilevel"/>
    <w:tmpl w:val="8C869850"/>
    <w:lvl w:ilvl="0" w:tplc="5696355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6">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8">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9">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6">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676698C"/>
    <w:multiLevelType w:val="hybridMultilevel"/>
    <w:tmpl w:val="C89ED2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0"/>
  </w:num>
  <w:num w:numId="9">
    <w:abstractNumId w:val="22"/>
  </w:num>
  <w:num w:numId="10">
    <w:abstractNumId w:val="14"/>
  </w:num>
  <w:num w:numId="11">
    <w:abstractNumId w:val="7"/>
  </w:num>
  <w:num w:numId="12">
    <w:abstractNumId w:val="31"/>
  </w:num>
  <w:num w:numId="13">
    <w:abstractNumId w:val="6"/>
  </w:num>
  <w:num w:numId="14">
    <w:abstractNumId w:val="18"/>
  </w:num>
  <w:num w:numId="15">
    <w:abstractNumId w:val="26"/>
  </w:num>
  <w:num w:numId="16">
    <w:abstractNumId w:val="25"/>
  </w:num>
  <w:num w:numId="17">
    <w:abstractNumId w:val="19"/>
  </w:num>
  <w:num w:numId="18">
    <w:abstractNumId w:val="17"/>
  </w:num>
  <w:num w:numId="19">
    <w:abstractNumId w:val="4"/>
  </w:num>
  <w:num w:numId="20">
    <w:abstractNumId w:val="28"/>
  </w:num>
  <w:num w:numId="21">
    <w:abstractNumId w:val="8"/>
  </w:num>
  <w:num w:numId="22">
    <w:abstractNumId w:val="10"/>
  </w:num>
  <w:num w:numId="23">
    <w:abstractNumId w:val="23"/>
  </w:num>
  <w:num w:numId="24">
    <w:abstractNumId w:val="16"/>
  </w:num>
  <w:num w:numId="25">
    <w:abstractNumId w:val="27"/>
  </w:num>
  <w:num w:numId="26">
    <w:abstractNumId w:val="15"/>
  </w:num>
  <w:num w:numId="27">
    <w:abstractNumId w:val="13"/>
  </w:num>
  <w:num w:numId="28">
    <w:abstractNumId w:val="30"/>
  </w:num>
  <w:num w:numId="29">
    <w:abstractNumId w:val="24"/>
  </w:num>
  <w:num w:numId="30">
    <w:abstractNumId w:val="4"/>
  </w:num>
  <w:num w:numId="31">
    <w:abstractNumId w:val="21"/>
  </w:num>
  <w:num w:numId="32">
    <w:abstractNumId w:val="12"/>
  </w:num>
  <w:num w:numId="33">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631"/>
    <w:rsid w:val="00017FC1"/>
    <w:rsid w:val="000227E0"/>
    <w:rsid w:val="0002330E"/>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B35"/>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0C81"/>
    <w:rsid w:val="00071214"/>
    <w:rsid w:val="0007167C"/>
    <w:rsid w:val="00071C09"/>
    <w:rsid w:val="00073208"/>
    <w:rsid w:val="0007390C"/>
    <w:rsid w:val="00074C5F"/>
    <w:rsid w:val="00076EB2"/>
    <w:rsid w:val="00076F19"/>
    <w:rsid w:val="00077239"/>
    <w:rsid w:val="00080B11"/>
    <w:rsid w:val="00081939"/>
    <w:rsid w:val="00081B17"/>
    <w:rsid w:val="00081E2B"/>
    <w:rsid w:val="00083322"/>
    <w:rsid w:val="00083D17"/>
    <w:rsid w:val="00083E54"/>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2FFE"/>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182"/>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E6553"/>
    <w:rsid w:val="000E7A7C"/>
    <w:rsid w:val="000F02C6"/>
    <w:rsid w:val="000F030A"/>
    <w:rsid w:val="000F05F9"/>
    <w:rsid w:val="000F06F3"/>
    <w:rsid w:val="000F0714"/>
    <w:rsid w:val="000F0B8C"/>
    <w:rsid w:val="000F1F7F"/>
    <w:rsid w:val="000F21F4"/>
    <w:rsid w:val="000F260B"/>
    <w:rsid w:val="000F4DA4"/>
    <w:rsid w:val="000F5233"/>
    <w:rsid w:val="000F5759"/>
    <w:rsid w:val="000F69CF"/>
    <w:rsid w:val="00100218"/>
    <w:rsid w:val="00102228"/>
    <w:rsid w:val="0010235A"/>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2BF"/>
    <w:rsid w:val="001268A8"/>
    <w:rsid w:val="00127F9A"/>
    <w:rsid w:val="0013044D"/>
    <w:rsid w:val="001332B5"/>
    <w:rsid w:val="00134DE4"/>
    <w:rsid w:val="00135C38"/>
    <w:rsid w:val="00140314"/>
    <w:rsid w:val="00140693"/>
    <w:rsid w:val="00140D74"/>
    <w:rsid w:val="00141711"/>
    <w:rsid w:val="00141838"/>
    <w:rsid w:val="00141C36"/>
    <w:rsid w:val="00141D40"/>
    <w:rsid w:val="00141F0C"/>
    <w:rsid w:val="00143052"/>
    <w:rsid w:val="001431C5"/>
    <w:rsid w:val="00143D09"/>
    <w:rsid w:val="001469C3"/>
    <w:rsid w:val="001470B2"/>
    <w:rsid w:val="00147494"/>
    <w:rsid w:val="001474AE"/>
    <w:rsid w:val="00150B9F"/>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293"/>
    <w:rsid w:val="0016260C"/>
    <w:rsid w:val="00162D71"/>
    <w:rsid w:val="00164723"/>
    <w:rsid w:val="0016482E"/>
    <w:rsid w:val="00165275"/>
    <w:rsid w:val="00165B90"/>
    <w:rsid w:val="00165BE2"/>
    <w:rsid w:val="0016676A"/>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393"/>
    <w:rsid w:val="00181628"/>
    <w:rsid w:val="00182526"/>
    <w:rsid w:val="00182722"/>
    <w:rsid w:val="001827EC"/>
    <w:rsid w:val="00184274"/>
    <w:rsid w:val="00185B82"/>
    <w:rsid w:val="00186145"/>
    <w:rsid w:val="00187C83"/>
    <w:rsid w:val="00190155"/>
    <w:rsid w:val="001906EE"/>
    <w:rsid w:val="00190B22"/>
    <w:rsid w:val="00190CD7"/>
    <w:rsid w:val="00191307"/>
    <w:rsid w:val="0019235B"/>
    <w:rsid w:val="001924E0"/>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3452"/>
    <w:rsid w:val="001C4A01"/>
    <w:rsid w:val="001C5151"/>
    <w:rsid w:val="001C55B8"/>
    <w:rsid w:val="001C5827"/>
    <w:rsid w:val="001C5B54"/>
    <w:rsid w:val="001C5F31"/>
    <w:rsid w:val="001C7C3B"/>
    <w:rsid w:val="001D0284"/>
    <w:rsid w:val="001D0E5D"/>
    <w:rsid w:val="001D1FDC"/>
    <w:rsid w:val="001D38B5"/>
    <w:rsid w:val="001D487F"/>
    <w:rsid w:val="001D4DE6"/>
    <w:rsid w:val="001D54BF"/>
    <w:rsid w:val="001D5B1E"/>
    <w:rsid w:val="001D6F53"/>
    <w:rsid w:val="001D731D"/>
    <w:rsid w:val="001E0197"/>
    <w:rsid w:val="001E0D58"/>
    <w:rsid w:val="001E1C90"/>
    <w:rsid w:val="001E2E7B"/>
    <w:rsid w:val="001E32AA"/>
    <w:rsid w:val="001E36A3"/>
    <w:rsid w:val="001E3ADC"/>
    <w:rsid w:val="001E4038"/>
    <w:rsid w:val="001E403E"/>
    <w:rsid w:val="001E4F13"/>
    <w:rsid w:val="001E537C"/>
    <w:rsid w:val="001E5D90"/>
    <w:rsid w:val="001E724E"/>
    <w:rsid w:val="001E725B"/>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DFE"/>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3732"/>
    <w:rsid w:val="00215102"/>
    <w:rsid w:val="002151EB"/>
    <w:rsid w:val="00215FF2"/>
    <w:rsid w:val="002160CD"/>
    <w:rsid w:val="00217819"/>
    <w:rsid w:val="00220103"/>
    <w:rsid w:val="00220754"/>
    <w:rsid w:val="0022250D"/>
    <w:rsid w:val="00222D37"/>
    <w:rsid w:val="002236B6"/>
    <w:rsid w:val="002237B9"/>
    <w:rsid w:val="00223DF4"/>
    <w:rsid w:val="00224443"/>
    <w:rsid w:val="00224C05"/>
    <w:rsid w:val="002262DF"/>
    <w:rsid w:val="00227A6D"/>
    <w:rsid w:val="00227E6F"/>
    <w:rsid w:val="002315EB"/>
    <w:rsid w:val="0023184C"/>
    <w:rsid w:val="00232AA4"/>
    <w:rsid w:val="00232BE0"/>
    <w:rsid w:val="0023336E"/>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983"/>
    <w:rsid w:val="00290B34"/>
    <w:rsid w:val="002912AE"/>
    <w:rsid w:val="00291BE0"/>
    <w:rsid w:val="00293F87"/>
    <w:rsid w:val="00294FCD"/>
    <w:rsid w:val="002954D2"/>
    <w:rsid w:val="00297A60"/>
    <w:rsid w:val="00297C8A"/>
    <w:rsid w:val="002A0838"/>
    <w:rsid w:val="002A20C0"/>
    <w:rsid w:val="002A2300"/>
    <w:rsid w:val="002A2D1F"/>
    <w:rsid w:val="002A335C"/>
    <w:rsid w:val="002A3E22"/>
    <w:rsid w:val="002A42B8"/>
    <w:rsid w:val="002A4A4C"/>
    <w:rsid w:val="002A4FAC"/>
    <w:rsid w:val="002A50FB"/>
    <w:rsid w:val="002A65FD"/>
    <w:rsid w:val="002B0A74"/>
    <w:rsid w:val="002B3B85"/>
    <w:rsid w:val="002B56D7"/>
    <w:rsid w:val="002B778E"/>
    <w:rsid w:val="002B7B68"/>
    <w:rsid w:val="002B7C7B"/>
    <w:rsid w:val="002C08C1"/>
    <w:rsid w:val="002C09F2"/>
    <w:rsid w:val="002C2756"/>
    <w:rsid w:val="002C294A"/>
    <w:rsid w:val="002C3989"/>
    <w:rsid w:val="002C5298"/>
    <w:rsid w:val="002C57B3"/>
    <w:rsid w:val="002C5CA1"/>
    <w:rsid w:val="002C5CD3"/>
    <w:rsid w:val="002C65EE"/>
    <w:rsid w:val="002C7580"/>
    <w:rsid w:val="002C7F91"/>
    <w:rsid w:val="002D0B38"/>
    <w:rsid w:val="002D0C78"/>
    <w:rsid w:val="002D16E7"/>
    <w:rsid w:val="002D218A"/>
    <w:rsid w:val="002D2E84"/>
    <w:rsid w:val="002D3B24"/>
    <w:rsid w:val="002D4DA0"/>
    <w:rsid w:val="002D56F9"/>
    <w:rsid w:val="002D6B3E"/>
    <w:rsid w:val="002D7525"/>
    <w:rsid w:val="002E24C6"/>
    <w:rsid w:val="002E31BE"/>
    <w:rsid w:val="002E46FF"/>
    <w:rsid w:val="002E4D04"/>
    <w:rsid w:val="002E5742"/>
    <w:rsid w:val="002E5AB0"/>
    <w:rsid w:val="002E6DB6"/>
    <w:rsid w:val="002E775F"/>
    <w:rsid w:val="002E7EC8"/>
    <w:rsid w:val="002F0159"/>
    <w:rsid w:val="002F0DFB"/>
    <w:rsid w:val="002F13D9"/>
    <w:rsid w:val="002F1759"/>
    <w:rsid w:val="002F1B73"/>
    <w:rsid w:val="002F20E0"/>
    <w:rsid w:val="002F2269"/>
    <w:rsid w:val="002F3033"/>
    <w:rsid w:val="002F342F"/>
    <w:rsid w:val="002F37C7"/>
    <w:rsid w:val="002F46A5"/>
    <w:rsid w:val="002F4A39"/>
    <w:rsid w:val="002F5EC9"/>
    <w:rsid w:val="002F653E"/>
    <w:rsid w:val="002F67E7"/>
    <w:rsid w:val="002F7FDF"/>
    <w:rsid w:val="00300B68"/>
    <w:rsid w:val="00301E9B"/>
    <w:rsid w:val="003028CF"/>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17C06"/>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77C"/>
    <w:rsid w:val="00353839"/>
    <w:rsid w:val="00353FED"/>
    <w:rsid w:val="00354B07"/>
    <w:rsid w:val="003552DA"/>
    <w:rsid w:val="00355427"/>
    <w:rsid w:val="003565A3"/>
    <w:rsid w:val="003566CD"/>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2F0A"/>
    <w:rsid w:val="003732AD"/>
    <w:rsid w:val="003734FD"/>
    <w:rsid w:val="0037408A"/>
    <w:rsid w:val="00374496"/>
    <w:rsid w:val="003746C6"/>
    <w:rsid w:val="00374CC7"/>
    <w:rsid w:val="00375071"/>
    <w:rsid w:val="00381928"/>
    <w:rsid w:val="003848BC"/>
    <w:rsid w:val="00384BD0"/>
    <w:rsid w:val="003851ED"/>
    <w:rsid w:val="00387765"/>
    <w:rsid w:val="00387B75"/>
    <w:rsid w:val="0039128F"/>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4DC5"/>
    <w:rsid w:val="003A6F57"/>
    <w:rsid w:val="003B16C4"/>
    <w:rsid w:val="003B2D38"/>
    <w:rsid w:val="003B38F4"/>
    <w:rsid w:val="003B3CD1"/>
    <w:rsid w:val="003B485F"/>
    <w:rsid w:val="003B503D"/>
    <w:rsid w:val="003B55F8"/>
    <w:rsid w:val="003B5A92"/>
    <w:rsid w:val="003B6990"/>
    <w:rsid w:val="003B6BA9"/>
    <w:rsid w:val="003B75CB"/>
    <w:rsid w:val="003B7820"/>
    <w:rsid w:val="003B7B76"/>
    <w:rsid w:val="003C1365"/>
    <w:rsid w:val="003C163C"/>
    <w:rsid w:val="003C1CFF"/>
    <w:rsid w:val="003C1D02"/>
    <w:rsid w:val="003C21E1"/>
    <w:rsid w:val="003C24D5"/>
    <w:rsid w:val="003C2E25"/>
    <w:rsid w:val="003C3589"/>
    <w:rsid w:val="003C3D12"/>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879"/>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179B"/>
    <w:rsid w:val="00421C27"/>
    <w:rsid w:val="00421E68"/>
    <w:rsid w:val="00422171"/>
    <w:rsid w:val="004225FB"/>
    <w:rsid w:val="00423ACC"/>
    <w:rsid w:val="00424321"/>
    <w:rsid w:val="00425D24"/>
    <w:rsid w:val="0042620B"/>
    <w:rsid w:val="004268B1"/>
    <w:rsid w:val="00427661"/>
    <w:rsid w:val="00427F0B"/>
    <w:rsid w:val="00430455"/>
    <w:rsid w:val="004312A6"/>
    <w:rsid w:val="00431B06"/>
    <w:rsid w:val="00431FBA"/>
    <w:rsid w:val="00432560"/>
    <w:rsid w:val="00432B9C"/>
    <w:rsid w:val="0043368D"/>
    <w:rsid w:val="004341C5"/>
    <w:rsid w:val="00434705"/>
    <w:rsid w:val="00435447"/>
    <w:rsid w:val="0043785F"/>
    <w:rsid w:val="00437E31"/>
    <w:rsid w:val="00440895"/>
    <w:rsid w:val="004414E0"/>
    <w:rsid w:val="00442152"/>
    <w:rsid w:val="00442E22"/>
    <w:rsid w:val="00442F14"/>
    <w:rsid w:val="004431F2"/>
    <w:rsid w:val="0044373C"/>
    <w:rsid w:val="00443BBB"/>
    <w:rsid w:val="00445282"/>
    <w:rsid w:val="004456D0"/>
    <w:rsid w:val="00445B78"/>
    <w:rsid w:val="00445FBD"/>
    <w:rsid w:val="00447F2F"/>
    <w:rsid w:val="004516EF"/>
    <w:rsid w:val="004537E0"/>
    <w:rsid w:val="00453AE2"/>
    <w:rsid w:val="0045421B"/>
    <w:rsid w:val="00455A2B"/>
    <w:rsid w:val="0045606F"/>
    <w:rsid w:val="00457C07"/>
    <w:rsid w:val="00457C0C"/>
    <w:rsid w:val="00460C3C"/>
    <w:rsid w:val="00461140"/>
    <w:rsid w:val="00461B58"/>
    <w:rsid w:val="0046274B"/>
    <w:rsid w:val="00462A07"/>
    <w:rsid w:val="0046408E"/>
    <w:rsid w:val="004649BE"/>
    <w:rsid w:val="00464B8F"/>
    <w:rsid w:val="00464FC6"/>
    <w:rsid w:val="00466212"/>
    <w:rsid w:val="004711A5"/>
    <w:rsid w:val="00471CEB"/>
    <w:rsid w:val="00472263"/>
    <w:rsid w:val="00472719"/>
    <w:rsid w:val="004737F0"/>
    <w:rsid w:val="00473E06"/>
    <w:rsid w:val="00475724"/>
    <w:rsid w:val="00475ECD"/>
    <w:rsid w:val="0047702C"/>
    <w:rsid w:val="00477A2C"/>
    <w:rsid w:val="004823A5"/>
    <w:rsid w:val="00483B97"/>
    <w:rsid w:val="00483F42"/>
    <w:rsid w:val="004850D5"/>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97CD2"/>
    <w:rsid w:val="004A0169"/>
    <w:rsid w:val="004A11CD"/>
    <w:rsid w:val="004A1EC0"/>
    <w:rsid w:val="004A21BD"/>
    <w:rsid w:val="004A2B15"/>
    <w:rsid w:val="004A3050"/>
    <w:rsid w:val="004A3582"/>
    <w:rsid w:val="004A4707"/>
    <w:rsid w:val="004A4AF3"/>
    <w:rsid w:val="004A4CC8"/>
    <w:rsid w:val="004A59A5"/>
    <w:rsid w:val="004A5A26"/>
    <w:rsid w:val="004A5D90"/>
    <w:rsid w:val="004A67FD"/>
    <w:rsid w:val="004A6EE9"/>
    <w:rsid w:val="004B2321"/>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4A1"/>
    <w:rsid w:val="004D2CAF"/>
    <w:rsid w:val="004D2FB6"/>
    <w:rsid w:val="004D3B38"/>
    <w:rsid w:val="004D4B6D"/>
    <w:rsid w:val="004D540F"/>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5127"/>
    <w:rsid w:val="004F5D80"/>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5D9"/>
    <w:rsid w:val="005208E5"/>
    <w:rsid w:val="0052129E"/>
    <w:rsid w:val="00521AD5"/>
    <w:rsid w:val="00521D35"/>
    <w:rsid w:val="00523217"/>
    <w:rsid w:val="00523963"/>
    <w:rsid w:val="00523F4A"/>
    <w:rsid w:val="005254AC"/>
    <w:rsid w:val="00525B44"/>
    <w:rsid w:val="005273ED"/>
    <w:rsid w:val="00527526"/>
    <w:rsid w:val="005303A5"/>
    <w:rsid w:val="00531342"/>
    <w:rsid w:val="00531CBB"/>
    <w:rsid w:val="00532CC6"/>
    <w:rsid w:val="005332D4"/>
    <w:rsid w:val="00535381"/>
    <w:rsid w:val="00535626"/>
    <w:rsid w:val="00535D82"/>
    <w:rsid w:val="00537638"/>
    <w:rsid w:val="0054030E"/>
    <w:rsid w:val="00541D2F"/>
    <w:rsid w:val="00541F3F"/>
    <w:rsid w:val="00542B8A"/>
    <w:rsid w:val="00542F06"/>
    <w:rsid w:val="00543239"/>
    <w:rsid w:val="00543465"/>
    <w:rsid w:val="00543D66"/>
    <w:rsid w:val="00544FFC"/>
    <w:rsid w:val="00545FD1"/>
    <w:rsid w:val="00546C61"/>
    <w:rsid w:val="00546FBE"/>
    <w:rsid w:val="00547990"/>
    <w:rsid w:val="005501EE"/>
    <w:rsid w:val="00552848"/>
    <w:rsid w:val="00552AB6"/>
    <w:rsid w:val="00553044"/>
    <w:rsid w:val="0055305C"/>
    <w:rsid w:val="00553987"/>
    <w:rsid w:val="00554039"/>
    <w:rsid w:val="005547BA"/>
    <w:rsid w:val="00554B2B"/>
    <w:rsid w:val="0055554C"/>
    <w:rsid w:val="00556F6E"/>
    <w:rsid w:val="0056145B"/>
    <w:rsid w:val="00561629"/>
    <w:rsid w:val="00561E8E"/>
    <w:rsid w:val="0056220F"/>
    <w:rsid w:val="00562555"/>
    <w:rsid w:val="005627B2"/>
    <w:rsid w:val="0056358C"/>
    <w:rsid w:val="005647BE"/>
    <w:rsid w:val="005649CD"/>
    <w:rsid w:val="005657AA"/>
    <w:rsid w:val="00565949"/>
    <w:rsid w:val="005669A5"/>
    <w:rsid w:val="00566D6A"/>
    <w:rsid w:val="00566E12"/>
    <w:rsid w:val="00566E64"/>
    <w:rsid w:val="00566E82"/>
    <w:rsid w:val="00567F7E"/>
    <w:rsid w:val="00570625"/>
    <w:rsid w:val="00571317"/>
    <w:rsid w:val="00572368"/>
    <w:rsid w:val="00573363"/>
    <w:rsid w:val="00573BE3"/>
    <w:rsid w:val="0057508B"/>
    <w:rsid w:val="00575241"/>
    <w:rsid w:val="005756EF"/>
    <w:rsid w:val="005769A8"/>
    <w:rsid w:val="005772A2"/>
    <w:rsid w:val="00581C1B"/>
    <w:rsid w:val="00581FF4"/>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431A"/>
    <w:rsid w:val="005A51ED"/>
    <w:rsid w:val="005A5EDF"/>
    <w:rsid w:val="005A6731"/>
    <w:rsid w:val="005A7196"/>
    <w:rsid w:val="005B01C8"/>
    <w:rsid w:val="005B103F"/>
    <w:rsid w:val="005B11FE"/>
    <w:rsid w:val="005B2582"/>
    <w:rsid w:val="005B3B7C"/>
    <w:rsid w:val="005B48B1"/>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E7514"/>
    <w:rsid w:val="005F013E"/>
    <w:rsid w:val="005F0F15"/>
    <w:rsid w:val="005F2DE0"/>
    <w:rsid w:val="005F45CE"/>
    <w:rsid w:val="005F4877"/>
    <w:rsid w:val="005F5D2E"/>
    <w:rsid w:val="005F61E7"/>
    <w:rsid w:val="005F6287"/>
    <w:rsid w:val="005F6C18"/>
    <w:rsid w:val="005F7A35"/>
    <w:rsid w:val="006006A0"/>
    <w:rsid w:val="0060125E"/>
    <w:rsid w:val="00601928"/>
    <w:rsid w:val="00601C2E"/>
    <w:rsid w:val="006022EC"/>
    <w:rsid w:val="006037E6"/>
    <w:rsid w:val="00603EC9"/>
    <w:rsid w:val="006068D5"/>
    <w:rsid w:val="006079C7"/>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DBC"/>
    <w:rsid w:val="00636E34"/>
    <w:rsid w:val="00641A1B"/>
    <w:rsid w:val="006422D1"/>
    <w:rsid w:val="006424A7"/>
    <w:rsid w:val="00642756"/>
    <w:rsid w:val="00642CAB"/>
    <w:rsid w:val="006432D3"/>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506"/>
    <w:rsid w:val="00676AD0"/>
    <w:rsid w:val="00677380"/>
    <w:rsid w:val="006775CD"/>
    <w:rsid w:val="0067777A"/>
    <w:rsid w:val="006802FD"/>
    <w:rsid w:val="00680A90"/>
    <w:rsid w:val="00681226"/>
    <w:rsid w:val="00682CFC"/>
    <w:rsid w:val="006832EB"/>
    <w:rsid w:val="00683626"/>
    <w:rsid w:val="00683B85"/>
    <w:rsid w:val="006843AE"/>
    <w:rsid w:val="00685F5A"/>
    <w:rsid w:val="0068668B"/>
    <w:rsid w:val="00686E06"/>
    <w:rsid w:val="006913B7"/>
    <w:rsid w:val="00691D2A"/>
    <w:rsid w:val="0069335B"/>
    <w:rsid w:val="00693734"/>
    <w:rsid w:val="006940F4"/>
    <w:rsid w:val="0069492E"/>
    <w:rsid w:val="00694C99"/>
    <w:rsid w:val="00695D46"/>
    <w:rsid w:val="0069660A"/>
    <w:rsid w:val="0069695C"/>
    <w:rsid w:val="00697F08"/>
    <w:rsid w:val="006A0294"/>
    <w:rsid w:val="006A13F6"/>
    <w:rsid w:val="006A1DAA"/>
    <w:rsid w:val="006A54FE"/>
    <w:rsid w:val="006A5586"/>
    <w:rsid w:val="006A6612"/>
    <w:rsid w:val="006A6F96"/>
    <w:rsid w:val="006B0464"/>
    <w:rsid w:val="006B1FDC"/>
    <w:rsid w:val="006B2590"/>
    <w:rsid w:val="006B32B6"/>
    <w:rsid w:val="006B36F6"/>
    <w:rsid w:val="006B381B"/>
    <w:rsid w:val="006B45C0"/>
    <w:rsid w:val="006B4E59"/>
    <w:rsid w:val="006B4FA9"/>
    <w:rsid w:val="006B5027"/>
    <w:rsid w:val="006B5ACE"/>
    <w:rsid w:val="006B619C"/>
    <w:rsid w:val="006B6C7E"/>
    <w:rsid w:val="006B7BD3"/>
    <w:rsid w:val="006C06F4"/>
    <w:rsid w:val="006C1D2A"/>
    <w:rsid w:val="006C2142"/>
    <w:rsid w:val="006C2AAF"/>
    <w:rsid w:val="006C360A"/>
    <w:rsid w:val="006C3824"/>
    <w:rsid w:val="006C46D7"/>
    <w:rsid w:val="006C4805"/>
    <w:rsid w:val="006C66A7"/>
    <w:rsid w:val="006C7794"/>
    <w:rsid w:val="006D0FB3"/>
    <w:rsid w:val="006D19A5"/>
    <w:rsid w:val="006D3F73"/>
    <w:rsid w:val="006D49B3"/>
    <w:rsid w:val="006D4D88"/>
    <w:rsid w:val="006D580D"/>
    <w:rsid w:val="006D6E66"/>
    <w:rsid w:val="006D6F52"/>
    <w:rsid w:val="006D70CD"/>
    <w:rsid w:val="006D7D63"/>
    <w:rsid w:val="006E00AC"/>
    <w:rsid w:val="006E13E6"/>
    <w:rsid w:val="006E1DA2"/>
    <w:rsid w:val="006E1E0C"/>
    <w:rsid w:val="006E2964"/>
    <w:rsid w:val="006E3311"/>
    <w:rsid w:val="006E3BBB"/>
    <w:rsid w:val="006E6E08"/>
    <w:rsid w:val="006F18B3"/>
    <w:rsid w:val="006F325C"/>
    <w:rsid w:val="006F408D"/>
    <w:rsid w:val="006F48A0"/>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754"/>
    <w:rsid w:val="00713E7A"/>
    <w:rsid w:val="007144FB"/>
    <w:rsid w:val="00714F58"/>
    <w:rsid w:val="00715402"/>
    <w:rsid w:val="007161BE"/>
    <w:rsid w:val="00717CA6"/>
    <w:rsid w:val="00721132"/>
    <w:rsid w:val="0072161D"/>
    <w:rsid w:val="007216C0"/>
    <w:rsid w:val="00721B29"/>
    <w:rsid w:val="00723180"/>
    <w:rsid w:val="00723820"/>
    <w:rsid w:val="00724E55"/>
    <w:rsid w:val="0072748E"/>
    <w:rsid w:val="00730690"/>
    <w:rsid w:val="00731B21"/>
    <w:rsid w:val="0073227E"/>
    <w:rsid w:val="0073398E"/>
    <w:rsid w:val="00733B69"/>
    <w:rsid w:val="00733CBF"/>
    <w:rsid w:val="0073448B"/>
    <w:rsid w:val="0073452F"/>
    <w:rsid w:val="00735C03"/>
    <w:rsid w:val="00736217"/>
    <w:rsid w:val="00736888"/>
    <w:rsid w:val="00740025"/>
    <w:rsid w:val="00740458"/>
    <w:rsid w:val="00742101"/>
    <w:rsid w:val="00742589"/>
    <w:rsid w:val="00743AF8"/>
    <w:rsid w:val="00743D16"/>
    <w:rsid w:val="00744142"/>
    <w:rsid w:val="00744941"/>
    <w:rsid w:val="007473BE"/>
    <w:rsid w:val="00747E12"/>
    <w:rsid w:val="00750A2B"/>
    <w:rsid w:val="00750C15"/>
    <w:rsid w:val="00750EA2"/>
    <w:rsid w:val="00751342"/>
    <w:rsid w:val="00752BA0"/>
    <w:rsid w:val="00752DA9"/>
    <w:rsid w:val="007537C7"/>
    <w:rsid w:val="007538A7"/>
    <w:rsid w:val="007539FA"/>
    <w:rsid w:val="00753C70"/>
    <w:rsid w:val="00754748"/>
    <w:rsid w:val="007552D7"/>
    <w:rsid w:val="00755407"/>
    <w:rsid w:val="007555F9"/>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22DA"/>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C65"/>
    <w:rsid w:val="00795F35"/>
    <w:rsid w:val="0079600E"/>
    <w:rsid w:val="007A06D9"/>
    <w:rsid w:val="007A0C1F"/>
    <w:rsid w:val="007A1D64"/>
    <w:rsid w:val="007A205E"/>
    <w:rsid w:val="007A3216"/>
    <w:rsid w:val="007A5A82"/>
    <w:rsid w:val="007A5F5A"/>
    <w:rsid w:val="007A675D"/>
    <w:rsid w:val="007A6CD3"/>
    <w:rsid w:val="007B071B"/>
    <w:rsid w:val="007B077E"/>
    <w:rsid w:val="007B14E3"/>
    <w:rsid w:val="007B3058"/>
    <w:rsid w:val="007B3474"/>
    <w:rsid w:val="007B483C"/>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3B2"/>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4D56"/>
    <w:rsid w:val="007F5BE5"/>
    <w:rsid w:val="007F5D96"/>
    <w:rsid w:val="007F7421"/>
    <w:rsid w:val="007F74C2"/>
    <w:rsid w:val="007F76A1"/>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2F68"/>
    <w:rsid w:val="00844986"/>
    <w:rsid w:val="00844C86"/>
    <w:rsid w:val="008453D0"/>
    <w:rsid w:val="008464ED"/>
    <w:rsid w:val="008467E8"/>
    <w:rsid w:val="00847873"/>
    <w:rsid w:val="0085032A"/>
    <w:rsid w:val="0085043E"/>
    <w:rsid w:val="00850739"/>
    <w:rsid w:val="0085083D"/>
    <w:rsid w:val="00851194"/>
    <w:rsid w:val="00851EDE"/>
    <w:rsid w:val="00851FBD"/>
    <w:rsid w:val="00852C72"/>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1D3B"/>
    <w:rsid w:val="00873AA2"/>
    <w:rsid w:val="0087435A"/>
    <w:rsid w:val="00876237"/>
    <w:rsid w:val="008767D2"/>
    <w:rsid w:val="00876BE1"/>
    <w:rsid w:val="00877841"/>
    <w:rsid w:val="00881BAC"/>
    <w:rsid w:val="00881EB5"/>
    <w:rsid w:val="008837A9"/>
    <w:rsid w:val="00883866"/>
    <w:rsid w:val="0088406F"/>
    <w:rsid w:val="00885000"/>
    <w:rsid w:val="008856CF"/>
    <w:rsid w:val="00886431"/>
    <w:rsid w:val="0088680C"/>
    <w:rsid w:val="0088684B"/>
    <w:rsid w:val="00887096"/>
    <w:rsid w:val="00887B5C"/>
    <w:rsid w:val="00887CE0"/>
    <w:rsid w:val="0089025D"/>
    <w:rsid w:val="008902BD"/>
    <w:rsid w:val="00890D27"/>
    <w:rsid w:val="00891D8A"/>
    <w:rsid w:val="00891F6C"/>
    <w:rsid w:val="008936C7"/>
    <w:rsid w:val="00894410"/>
    <w:rsid w:val="00894BEC"/>
    <w:rsid w:val="00895C86"/>
    <w:rsid w:val="0089606D"/>
    <w:rsid w:val="00896BF6"/>
    <w:rsid w:val="00897F3C"/>
    <w:rsid w:val="008A20D2"/>
    <w:rsid w:val="008A4441"/>
    <w:rsid w:val="008A46D6"/>
    <w:rsid w:val="008A5DA5"/>
    <w:rsid w:val="008A717D"/>
    <w:rsid w:val="008A7B34"/>
    <w:rsid w:val="008B05E7"/>
    <w:rsid w:val="008B0BBA"/>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D7EED"/>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12D"/>
    <w:rsid w:val="008F24DB"/>
    <w:rsid w:val="008F2865"/>
    <w:rsid w:val="008F494C"/>
    <w:rsid w:val="008F4B1B"/>
    <w:rsid w:val="008F53CD"/>
    <w:rsid w:val="008F56A0"/>
    <w:rsid w:val="008F5D72"/>
    <w:rsid w:val="008F6BDA"/>
    <w:rsid w:val="008F73EA"/>
    <w:rsid w:val="00900098"/>
    <w:rsid w:val="009005C1"/>
    <w:rsid w:val="0090121A"/>
    <w:rsid w:val="00901531"/>
    <w:rsid w:val="009038BD"/>
    <w:rsid w:val="00903D1A"/>
    <w:rsid w:val="0090461D"/>
    <w:rsid w:val="00904B28"/>
    <w:rsid w:val="00905C94"/>
    <w:rsid w:val="009078D8"/>
    <w:rsid w:val="00911455"/>
    <w:rsid w:val="0091215F"/>
    <w:rsid w:val="00912B5A"/>
    <w:rsid w:val="00913366"/>
    <w:rsid w:val="009133BA"/>
    <w:rsid w:val="00913B90"/>
    <w:rsid w:val="00914B8D"/>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8AE"/>
    <w:rsid w:val="00941B1F"/>
    <w:rsid w:val="00942487"/>
    <w:rsid w:val="00942D9C"/>
    <w:rsid w:val="00942F2F"/>
    <w:rsid w:val="00943188"/>
    <w:rsid w:val="00946523"/>
    <w:rsid w:val="009469CF"/>
    <w:rsid w:val="009473E5"/>
    <w:rsid w:val="00947943"/>
    <w:rsid w:val="00947B5B"/>
    <w:rsid w:val="00947C96"/>
    <w:rsid w:val="0095017E"/>
    <w:rsid w:val="009505AE"/>
    <w:rsid w:val="009509BD"/>
    <w:rsid w:val="00950C24"/>
    <w:rsid w:val="00951123"/>
    <w:rsid w:val="00952A6B"/>
    <w:rsid w:val="00952E84"/>
    <w:rsid w:val="00952FAA"/>
    <w:rsid w:val="0095389D"/>
    <w:rsid w:val="00955697"/>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2E45"/>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6918"/>
    <w:rsid w:val="00997129"/>
    <w:rsid w:val="00997BAA"/>
    <w:rsid w:val="009A09FC"/>
    <w:rsid w:val="009A1951"/>
    <w:rsid w:val="009A264C"/>
    <w:rsid w:val="009A2809"/>
    <w:rsid w:val="009A31FF"/>
    <w:rsid w:val="009A336E"/>
    <w:rsid w:val="009A4768"/>
    <w:rsid w:val="009A612E"/>
    <w:rsid w:val="009A7586"/>
    <w:rsid w:val="009A7776"/>
    <w:rsid w:val="009B072A"/>
    <w:rsid w:val="009B289B"/>
    <w:rsid w:val="009B2EA5"/>
    <w:rsid w:val="009B39DC"/>
    <w:rsid w:val="009B5F9F"/>
    <w:rsid w:val="009B60EB"/>
    <w:rsid w:val="009B6653"/>
    <w:rsid w:val="009B6696"/>
    <w:rsid w:val="009B66EB"/>
    <w:rsid w:val="009B7415"/>
    <w:rsid w:val="009C0919"/>
    <w:rsid w:val="009C11F8"/>
    <w:rsid w:val="009C1335"/>
    <w:rsid w:val="009C17EB"/>
    <w:rsid w:val="009C19BE"/>
    <w:rsid w:val="009C1EC0"/>
    <w:rsid w:val="009C35EB"/>
    <w:rsid w:val="009C3D3C"/>
    <w:rsid w:val="009C409E"/>
    <w:rsid w:val="009C4779"/>
    <w:rsid w:val="009C4A2E"/>
    <w:rsid w:val="009D0026"/>
    <w:rsid w:val="009D23BF"/>
    <w:rsid w:val="009D251E"/>
    <w:rsid w:val="009D316D"/>
    <w:rsid w:val="009D46C7"/>
    <w:rsid w:val="009D4A2A"/>
    <w:rsid w:val="009D6A1B"/>
    <w:rsid w:val="009D6FE5"/>
    <w:rsid w:val="009D7D88"/>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3EBC"/>
    <w:rsid w:val="009F5473"/>
    <w:rsid w:val="009F5E32"/>
    <w:rsid w:val="009F7802"/>
    <w:rsid w:val="00A002E0"/>
    <w:rsid w:val="00A00C93"/>
    <w:rsid w:val="00A0140D"/>
    <w:rsid w:val="00A028BF"/>
    <w:rsid w:val="00A02C8E"/>
    <w:rsid w:val="00A0308A"/>
    <w:rsid w:val="00A03271"/>
    <w:rsid w:val="00A03D95"/>
    <w:rsid w:val="00A05791"/>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7B4"/>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C70"/>
    <w:rsid w:val="00A41FD4"/>
    <w:rsid w:val="00A4200C"/>
    <w:rsid w:val="00A42AF3"/>
    <w:rsid w:val="00A454D6"/>
    <w:rsid w:val="00A46715"/>
    <w:rsid w:val="00A47A44"/>
    <w:rsid w:val="00A52AC4"/>
    <w:rsid w:val="00A53616"/>
    <w:rsid w:val="00A53C29"/>
    <w:rsid w:val="00A540FB"/>
    <w:rsid w:val="00A54D1A"/>
    <w:rsid w:val="00A55C6C"/>
    <w:rsid w:val="00A55E7C"/>
    <w:rsid w:val="00A568DE"/>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961"/>
    <w:rsid w:val="00A70C5C"/>
    <w:rsid w:val="00A71059"/>
    <w:rsid w:val="00A714D2"/>
    <w:rsid w:val="00A722B8"/>
    <w:rsid w:val="00A72A6F"/>
    <w:rsid w:val="00A732C7"/>
    <w:rsid w:val="00A736FD"/>
    <w:rsid w:val="00A73DDC"/>
    <w:rsid w:val="00A74BE4"/>
    <w:rsid w:val="00A74FA5"/>
    <w:rsid w:val="00A759B7"/>
    <w:rsid w:val="00A76603"/>
    <w:rsid w:val="00A76814"/>
    <w:rsid w:val="00A76B90"/>
    <w:rsid w:val="00A77CD3"/>
    <w:rsid w:val="00A804AE"/>
    <w:rsid w:val="00A80864"/>
    <w:rsid w:val="00A842B1"/>
    <w:rsid w:val="00A84AD3"/>
    <w:rsid w:val="00A84AF2"/>
    <w:rsid w:val="00A8585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250B"/>
    <w:rsid w:val="00AA3618"/>
    <w:rsid w:val="00AA41D1"/>
    <w:rsid w:val="00AA4925"/>
    <w:rsid w:val="00AA4E0F"/>
    <w:rsid w:val="00AA5D8E"/>
    <w:rsid w:val="00AA7876"/>
    <w:rsid w:val="00AB5252"/>
    <w:rsid w:val="00AB5617"/>
    <w:rsid w:val="00AB5ED0"/>
    <w:rsid w:val="00AB7251"/>
    <w:rsid w:val="00AB7EF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22CC"/>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45EE2"/>
    <w:rsid w:val="00B505F9"/>
    <w:rsid w:val="00B519D3"/>
    <w:rsid w:val="00B5402B"/>
    <w:rsid w:val="00B54623"/>
    <w:rsid w:val="00B54837"/>
    <w:rsid w:val="00B54D85"/>
    <w:rsid w:val="00B55A60"/>
    <w:rsid w:val="00B57698"/>
    <w:rsid w:val="00B615E6"/>
    <w:rsid w:val="00B6262A"/>
    <w:rsid w:val="00B62AEB"/>
    <w:rsid w:val="00B635AA"/>
    <w:rsid w:val="00B63CD3"/>
    <w:rsid w:val="00B64194"/>
    <w:rsid w:val="00B6467C"/>
    <w:rsid w:val="00B66CDC"/>
    <w:rsid w:val="00B67EE4"/>
    <w:rsid w:val="00B722C7"/>
    <w:rsid w:val="00B73671"/>
    <w:rsid w:val="00B736E4"/>
    <w:rsid w:val="00B7373E"/>
    <w:rsid w:val="00B74084"/>
    <w:rsid w:val="00B740F6"/>
    <w:rsid w:val="00B75363"/>
    <w:rsid w:val="00B755C1"/>
    <w:rsid w:val="00B75E92"/>
    <w:rsid w:val="00B77AE6"/>
    <w:rsid w:val="00B77B1C"/>
    <w:rsid w:val="00B80992"/>
    <w:rsid w:val="00B81382"/>
    <w:rsid w:val="00B83169"/>
    <w:rsid w:val="00B842E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5153"/>
    <w:rsid w:val="00BC60B8"/>
    <w:rsid w:val="00BC766C"/>
    <w:rsid w:val="00BC7C5A"/>
    <w:rsid w:val="00BD1BA1"/>
    <w:rsid w:val="00BD1DBA"/>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5C32"/>
    <w:rsid w:val="00BE6458"/>
    <w:rsid w:val="00BE75BE"/>
    <w:rsid w:val="00BE7F19"/>
    <w:rsid w:val="00BF095C"/>
    <w:rsid w:val="00BF106A"/>
    <w:rsid w:val="00BF1365"/>
    <w:rsid w:val="00BF2431"/>
    <w:rsid w:val="00BF27D0"/>
    <w:rsid w:val="00BF2ABC"/>
    <w:rsid w:val="00BF349D"/>
    <w:rsid w:val="00BF3FDE"/>
    <w:rsid w:val="00BF460F"/>
    <w:rsid w:val="00BF4701"/>
    <w:rsid w:val="00BF52A8"/>
    <w:rsid w:val="00BF6169"/>
    <w:rsid w:val="00BF6928"/>
    <w:rsid w:val="00BF7978"/>
    <w:rsid w:val="00BF7CF3"/>
    <w:rsid w:val="00C00DD6"/>
    <w:rsid w:val="00C00FA8"/>
    <w:rsid w:val="00C01138"/>
    <w:rsid w:val="00C0369F"/>
    <w:rsid w:val="00C0403B"/>
    <w:rsid w:val="00C045D1"/>
    <w:rsid w:val="00C05E0C"/>
    <w:rsid w:val="00C07E86"/>
    <w:rsid w:val="00C12261"/>
    <w:rsid w:val="00C13F06"/>
    <w:rsid w:val="00C13FC5"/>
    <w:rsid w:val="00C14F61"/>
    <w:rsid w:val="00C16542"/>
    <w:rsid w:val="00C17944"/>
    <w:rsid w:val="00C17A08"/>
    <w:rsid w:val="00C2077E"/>
    <w:rsid w:val="00C21713"/>
    <w:rsid w:val="00C21A00"/>
    <w:rsid w:val="00C222E9"/>
    <w:rsid w:val="00C22377"/>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744"/>
    <w:rsid w:val="00C50E2E"/>
    <w:rsid w:val="00C52B55"/>
    <w:rsid w:val="00C552AC"/>
    <w:rsid w:val="00C55414"/>
    <w:rsid w:val="00C60F73"/>
    <w:rsid w:val="00C617E4"/>
    <w:rsid w:val="00C62116"/>
    <w:rsid w:val="00C62E16"/>
    <w:rsid w:val="00C6371D"/>
    <w:rsid w:val="00C639AD"/>
    <w:rsid w:val="00C64026"/>
    <w:rsid w:val="00C640CC"/>
    <w:rsid w:val="00C64FEC"/>
    <w:rsid w:val="00C65574"/>
    <w:rsid w:val="00C66A9D"/>
    <w:rsid w:val="00C672B0"/>
    <w:rsid w:val="00C737D2"/>
    <w:rsid w:val="00C73EED"/>
    <w:rsid w:val="00C740EA"/>
    <w:rsid w:val="00C7479E"/>
    <w:rsid w:val="00C74A99"/>
    <w:rsid w:val="00C75A23"/>
    <w:rsid w:val="00C76664"/>
    <w:rsid w:val="00C773D4"/>
    <w:rsid w:val="00C80CAC"/>
    <w:rsid w:val="00C8237B"/>
    <w:rsid w:val="00C82437"/>
    <w:rsid w:val="00C828D2"/>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410E"/>
    <w:rsid w:val="00CA5EF2"/>
    <w:rsid w:val="00CA5F13"/>
    <w:rsid w:val="00CA6CEA"/>
    <w:rsid w:val="00CB0D08"/>
    <w:rsid w:val="00CB1833"/>
    <w:rsid w:val="00CB1883"/>
    <w:rsid w:val="00CB2619"/>
    <w:rsid w:val="00CB44E2"/>
    <w:rsid w:val="00CB51B9"/>
    <w:rsid w:val="00CB5D03"/>
    <w:rsid w:val="00CB6426"/>
    <w:rsid w:val="00CB786A"/>
    <w:rsid w:val="00CB7BEE"/>
    <w:rsid w:val="00CB7BF3"/>
    <w:rsid w:val="00CB7D93"/>
    <w:rsid w:val="00CC10E4"/>
    <w:rsid w:val="00CC1A41"/>
    <w:rsid w:val="00CC26F3"/>
    <w:rsid w:val="00CC3F16"/>
    <w:rsid w:val="00CC42C4"/>
    <w:rsid w:val="00CC491D"/>
    <w:rsid w:val="00CC4BED"/>
    <w:rsid w:val="00CC557E"/>
    <w:rsid w:val="00CC7E6E"/>
    <w:rsid w:val="00CD063D"/>
    <w:rsid w:val="00CD09C2"/>
    <w:rsid w:val="00CD1559"/>
    <w:rsid w:val="00CD1E77"/>
    <w:rsid w:val="00CD34C0"/>
    <w:rsid w:val="00CD3F15"/>
    <w:rsid w:val="00CD44D3"/>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5D01"/>
    <w:rsid w:val="00CE60A7"/>
    <w:rsid w:val="00CE69D5"/>
    <w:rsid w:val="00CF005F"/>
    <w:rsid w:val="00CF059E"/>
    <w:rsid w:val="00CF076A"/>
    <w:rsid w:val="00CF17DE"/>
    <w:rsid w:val="00CF1ED1"/>
    <w:rsid w:val="00CF3F1D"/>
    <w:rsid w:val="00CF3F2E"/>
    <w:rsid w:val="00CF4A6D"/>
    <w:rsid w:val="00CF667D"/>
    <w:rsid w:val="00CF6E95"/>
    <w:rsid w:val="00CF71C8"/>
    <w:rsid w:val="00CF78D6"/>
    <w:rsid w:val="00CF7F2A"/>
    <w:rsid w:val="00D004E1"/>
    <w:rsid w:val="00D023EB"/>
    <w:rsid w:val="00D02A8D"/>
    <w:rsid w:val="00D02A97"/>
    <w:rsid w:val="00D02D0C"/>
    <w:rsid w:val="00D0349C"/>
    <w:rsid w:val="00D03F70"/>
    <w:rsid w:val="00D04040"/>
    <w:rsid w:val="00D04973"/>
    <w:rsid w:val="00D05094"/>
    <w:rsid w:val="00D053D8"/>
    <w:rsid w:val="00D0611C"/>
    <w:rsid w:val="00D0661A"/>
    <w:rsid w:val="00D06F73"/>
    <w:rsid w:val="00D07B0E"/>
    <w:rsid w:val="00D07D8B"/>
    <w:rsid w:val="00D10F62"/>
    <w:rsid w:val="00D12FE6"/>
    <w:rsid w:val="00D13C59"/>
    <w:rsid w:val="00D14DEE"/>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0598"/>
    <w:rsid w:val="00D31B4A"/>
    <w:rsid w:val="00D3248A"/>
    <w:rsid w:val="00D32BA0"/>
    <w:rsid w:val="00D332E3"/>
    <w:rsid w:val="00D336BF"/>
    <w:rsid w:val="00D33F56"/>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3FFA"/>
    <w:rsid w:val="00D5406B"/>
    <w:rsid w:val="00D54071"/>
    <w:rsid w:val="00D544D1"/>
    <w:rsid w:val="00D54910"/>
    <w:rsid w:val="00D54B96"/>
    <w:rsid w:val="00D56844"/>
    <w:rsid w:val="00D56B02"/>
    <w:rsid w:val="00D56B15"/>
    <w:rsid w:val="00D57097"/>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8BE"/>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59D7"/>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558"/>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2D6"/>
    <w:rsid w:val="00DD1F0C"/>
    <w:rsid w:val="00DD2B91"/>
    <w:rsid w:val="00DD4FBD"/>
    <w:rsid w:val="00DD6046"/>
    <w:rsid w:val="00DE09CB"/>
    <w:rsid w:val="00DE13F1"/>
    <w:rsid w:val="00DE362C"/>
    <w:rsid w:val="00DE3CDE"/>
    <w:rsid w:val="00DE41E3"/>
    <w:rsid w:val="00DE4A60"/>
    <w:rsid w:val="00DE4B51"/>
    <w:rsid w:val="00DE74C8"/>
    <w:rsid w:val="00DE7672"/>
    <w:rsid w:val="00DE7C41"/>
    <w:rsid w:val="00DF06A2"/>
    <w:rsid w:val="00DF1BD7"/>
    <w:rsid w:val="00DF2DF4"/>
    <w:rsid w:val="00DF4B01"/>
    <w:rsid w:val="00DF5883"/>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5DE9"/>
    <w:rsid w:val="00E27EEA"/>
    <w:rsid w:val="00E301A9"/>
    <w:rsid w:val="00E306DA"/>
    <w:rsid w:val="00E30EB9"/>
    <w:rsid w:val="00E321EB"/>
    <w:rsid w:val="00E334D6"/>
    <w:rsid w:val="00E3518A"/>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483E"/>
    <w:rsid w:val="00E64F64"/>
    <w:rsid w:val="00E65ECF"/>
    <w:rsid w:val="00E66B1E"/>
    <w:rsid w:val="00E67DC9"/>
    <w:rsid w:val="00E7038C"/>
    <w:rsid w:val="00E70658"/>
    <w:rsid w:val="00E7178C"/>
    <w:rsid w:val="00E7190C"/>
    <w:rsid w:val="00E74412"/>
    <w:rsid w:val="00E7582D"/>
    <w:rsid w:val="00E75DCA"/>
    <w:rsid w:val="00E7633B"/>
    <w:rsid w:val="00E80C9D"/>
    <w:rsid w:val="00E82D0F"/>
    <w:rsid w:val="00E8376E"/>
    <w:rsid w:val="00E83B7B"/>
    <w:rsid w:val="00E84181"/>
    <w:rsid w:val="00E84F7C"/>
    <w:rsid w:val="00E85315"/>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A46"/>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36D7"/>
    <w:rsid w:val="00EF5CD4"/>
    <w:rsid w:val="00EF71C7"/>
    <w:rsid w:val="00EF7A34"/>
    <w:rsid w:val="00EF7CD0"/>
    <w:rsid w:val="00F0278E"/>
    <w:rsid w:val="00F0409E"/>
    <w:rsid w:val="00F04CEF"/>
    <w:rsid w:val="00F04FCB"/>
    <w:rsid w:val="00F05835"/>
    <w:rsid w:val="00F05D23"/>
    <w:rsid w:val="00F06B6F"/>
    <w:rsid w:val="00F10F64"/>
    <w:rsid w:val="00F116DF"/>
    <w:rsid w:val="00F118EA"/>
    <w:rsid w:val="00F1197B"/>
    <w:rsid w:val="00F12843"/>
    <w:rsid w:val="00F12A14"/>
    <w:rsid w:val="00F12FEB"/>
    <w:rsid w:val="00F1340B"/>
    <w:rsid w:val="00F1343E"/>
    <w:rsid w:val="00F13767"/>
    <w:rsid w:val="00F151CA"/>
    <w:rsid w:val="00F158AD"/>
    <w:rsid w:val="00F158D3"/>
    <w:rsid w:val="00F15D71"/>
    <w:rsid w:val="00F1625C"/>
    <w:rsid w:val="00F16398"/>
    <w:rsid w:val="00F16606"/>
    <w:rsid w:val="00F16910"/>
    <w:rsid w:val="00F1697B"/>
    <w:rsid w:val="00F16FCA"/>
    <w:rsid w:val="00F2056B"/>
    <w:rsid w:val="00F216E8"/>
    <w:rsid w:val="00F218EE"/>
    <w:rsid w:val="00F2385C"/>
    <w:rsid w:val="00F251C8"/>
    <w:rsid w:val="00F25EAF"/>
    <w:rsid w:val="00F26733"/>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47B08"/>
    <w:rsid w:val="00F50221"/>
    <w:rsid w:val="00F51C75"/>
    <w:rsid w:val="00F52873"/>
    <w:rsid w:val="00F52E76"/>
    <w:rsid w:val="00F53005"/>
    <w:rsid w:val="00F53679"/>
    <w:rsid w:val="00F53816"/>
    <w:rsid w:val="00F54163"/>
    <w:rsid w:val="00F54429"/>
    <w:rsid w:val="00F54A01"/>
    <w:rsid w:val="00F5516C"/>
    <w:rsid w:val="00F555FE"/>
    <w:rsid w:val="00F608E6"/>
    <w:rsid w:val="00F6175E"/>
    <w:rsid w:val="00F61877"/>
    <w:rsid w:val="00F6230F"/>
    <w:rsid w:val="00F626EE"/>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5E74"/>
    <w:rsid w:val="00FB6266"/>
    <w:rsid w:val="00FB66C2"/>
    <w:rsid w:val="00FB6833"/>
    <w:rsid w:val="00FB7B63"/>
    <w:rsid w:val="00FC14D7"/>
    <w:rsid w:val="00FC2738"/>
    <w:rsid w:val="00FC37CE"/>
    <w:rsid w:val="00FC44DB"/>
    <w:rsid w:val="00FC5CDD"/>
    <w:rsid w:val="00FC73CB"/>
    <w:rsid w:val="00FC78CB"/>
    <w:rsid w:val="00FC7CED"/>
    <w:rsid w:val="00FD1546"/>
    <w:rsid w:val="00FD2849"/>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1CB8"/>
    <w:rsid w:val="00FF2751"/>
    <w:rsid w:val="00FF4121"/>
    <w:rsid w:val="00FF468E"/>
    <w:rsid w:val="00FF63A2"/>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esc-web.lib.cbs.dk/linkresolver/static/cta_pt_abb_circ?WT.z_nav=crosslink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D7528CC3-DDEC-4EA5-9334-1D3CA1A7C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12</Pages>
  <Words>4959</Words>
  <Characters>25044</Characters>
  <Application>Microsoft Office Word</Application>
  <DocSecurity>0</DocSecurity>
  <Lines>863</Lines>
  <Paragraphs>270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European Commission</Company>
  <LinksUpToDate>false</LinksUpToDate>
  <CharactersWithSpaces>29733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5</cp:revision>
  <cp:lastPrinted>2015-05-11T13:18:00Z</cp:lastPrinted>
  <dcterms:created xsi:type="dcterms:W3CDTF">2015-10-27T09:54:00Z</dcterms:created>
  <dcterms:modified xsi:type="dcterms:W3CDTF">2015-11-02T11:45:00Z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