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3E6F53" w:rsidRDefault="00B41BBD">
      <w:bookmarkStart w:id="0" w:name="_GoBack"/>
      <w:bookmarkEnd w:id="0"/>
    </w:p>
    <w:p w14:paraId="0FFBF625" w14:textId="77777777" w:rsidR="00D2200F" w:rsidRPr="003E6F53" w:rsidRDefault="00D2200F"/>
    <w:p w14:paraId="501EA36F" w14:textId="77777777" w:rsidR="00D2200F" w:rsidRPr="003E6F53" w:rsidRDefault="00F8688E" w:rsidP="00F8688E">
      <w:pPr>
        <w:tabs>
          <w:tab w:val="left" w:pos="6624"/>
        </w:tabs>
      </w:pPr>
      <w:r w:rsidRPr="003E6F53">
        <w:tab/>
      </w:r>
    </w:p>
    <w:p w14:paraId="4270C9CB" w14:textId="77777777" w:rsidR="00B41BBD" w:rsidRPr="003E6F53" w:rsidRDefault="00B41BBD"/>
    <w:p w14:paraId="7BFA3CDF" w14:textId="77777777" w:rsidR="00B41BBD" w:rsidRPr="003E6F53" w:rsidRDefault="00B41BBD"/>
    <w:p w14:paraId="49FE25D5" w14:textId="77777777" w:rsidR="00B41BBD" w:rsidRPr="003E6F53" w:rsidRDefault="00B41BBD"/>
    <w:p w14:paraId="35FE28BB" w14:textId="77777777" w:rsidR="00B41BBD" w:rsidRPr="003E6F53" w:rsidRDefault="00B41BBD"/>
    <w:p w14:paraId="726D6B4B" w14:textId="77777777" w:rsidR="00B41BBD" w:rsidRPr="003E6F53" w:rsidRDefault="00B41BBD"/>
    <w:p w14:paraId="6ABA0285" w14:textId="77777777" w:rsidR="00B41BBD" w:rsidRPr="003E6F53" w:rsidRDefault="00B41BBD"/>
    <w:p w14:paraId="7CFFA644" w14:textId="77777777" w:rsidR="00B41BBD" w:rsidRPr="003E6F53" w:rsidRDefault="00B41BBD"/>
    <w:p w14:paraId="769A8BDD" w14:textId="77777777" w:rsidR="00B41BBD" w:rsidRPr="003E6F53" w:rsidRDefault="00B41BBD"/>
    <w:p w14:paraId="21F4A595" w14:textId="77777777" w:rsidR="00B41BBD" w:rsidRPr="003E6F53" w:rsidRDefault="00B41BBD"/>
    <w:p w14:paraId="41810831" w14:textId="77777777" w:rsidR="00B41BBD" w:rsidRPr="003E6F53" w:rsidRDefault="00B41BBD" w:rsidP="00B41BBD">
      <w:pPr>
        <w:tabs>
          <w:tab w:val="left" w:pos="7500"/>
        </w:tabs>
      </w:pPr>
    </w:p>
    <w:p w14:paraId="0E240916" w14:textId="77777777" w:rsidR="00B41BBD" w:rsidRPr="003E6F53" w:rsidRDefault="00B41BBD" w:rsidP="00B41BBD">
      <w:pPr>
        <w:tabs>
          <w:tab w:val="left" w:pos="7500"/>
        </w:tabs>
      </w:pPr>
    </w:p>
    <w:p w14:paraId="177D36D5" w14:textId="77777777" w:rsidR="00B41BBD" w:rsidRPr="003E6F53" w:rsidRDefault="00B41BBD" w:rsidP="00B41BBD">
      <w:pPr>
        <w:tabs>
          <w:tab w:val="left" w:pos="7500"/>
        </w:tabs>
      </w:pPr>
    </w:p>
    <w:p w14:paraId="39AD58CE" w14:textId="77777777" w:rsidR="00B41BBD" w:rsidRPr="003E6F53" w:rsidRDefault="00B41BBD" w:rsidP="00B41BBD">
      <w:pPr>
        <w:tabs>
          <w:tab w:val="left" w:pos="7500"/>
        </w:tabs>
      </w:pPr>
    </w:p>
    <w:p w14:paraId="4A349EFE" w14:textId="77777777" w:rsidR="00B41BBD" w:rsidRPr="003E6F53" w:rsidRDefault="00B41BBD" w:rsidP="00B41BBD">
      <w:pPr>
        <w:tabs>
          <w:tab w:val="left" w:pos="7500"/>
        </w:tabs>
      </w:pPr>
    </w:p>
    <w:p w14:paraId="5FC44D0A" w14:textId="77777777" w:rsidR="00B41BBD" w:rsidRPr="003E6F53" w:rsidRDefault="00B41BBD" w:rsidP="00B41BBD">
      <w:pPr>
        <w:tabs>
          <w:tab w:val="left" w:pos="7500"/>
        </w:tabs>
      </w:pPr>
    </w:p>
    <w:p w14:paraId="08CC5F83" w14:textId="77777777" w:rsidR="000C6B6F" w:rsidRPr="003E6F53" w:rsidRDefault="00FA55B1" w:rsidP="000C6B6F">
      <w:pPr>
        <w:jc w:val="center"/>
        <w:rPr>
          <w:b/>
          <w:color w:val="FFFFFF"/>
          <w:sz w:val="40"/>
          <w:szCs w:val="36"/>
        </w:rPr>
      </w:pPr>
      <w:r w:rsidRPr="003E6F53">
        <w:rPr>
          <w:b/>
          <w:color w:val="FFFFFF"/>
          <w:sz w:val="40"/>
          <w:szCs w:val="36"/>
        </w:rPr>
        <w:t>Study on Aggressive Tax Planning</w:t>
      </w:r>
    </w:p>
    <w:p w14:paraId="2378E721" w14:textId="77777777" w:rsidR="000C6B6F" w:rsidRPr="003E6F53" w:rsidRDefault="000C6B6F" w:rsidP="000C6B6F">
      <w:pPr>
        <w:jc w:val="center"/>
        <w:rPr>
          <w:b/>
          <w:color w:val="FFFFFF"/>
          <w:sz w:val="40"/>
          <w:szCs w:val="36"/>
        </w:rPr>
      </w:pPr>
    </w:p>
    <w:p w14:paraId="70479BDA" w14:textId="77777777" w:rsidR="000C6B6F" w:rsidRPr="003E6F53" w:rsidRDefault="000C6B6F" w:rsidP="000C6B6F">
      <w:pPr>
        <w:jc w:val="center"/>
      </w:pPr>
    </w:p>
    <w:p w14:paraId="0632E340" w14:textId="77777777" w:rsidR="000C6B6F" w:rsidRPr="003E6F53" w:rsidRDefault="00FA55B1" w:rsidP="00FA55B1">
      <w:pPr>
        <w:jc w:val="center"/>
      </w:pPr>
      <w:r w:rsidRPr="003E6F53">
        <w:rPr>
          <w:i/>
          <w:color w:val="FFFFFF"/>
          <w:sz w:val="36"/>
          <w:szCs w:val="36"/>
        </w:rPr>
        <w:t>Specific contract No13 under FWC TAXUD/2012/CC116</w:t>
      </w:r>
    </w:p>
    <w:p w14:paraId="6944B4D6" w14:textId="77777777" w:rsidR="000C6B6F" w:rsidRPr="003E6F53" w:rsidRDefault="000C6B6F" w:rsidP="000C6B6F"/>
    <w:p w14:paraId="0BDA647D" w14:textId="77777777" w:rsidR="000C6B6F" w:rsidRPr="003E6F53" w:rsidRDefault="000C6B6F" w:rsidP="000C6B6F"/>
    <w:p w14:paraId="544DD4B8" w14:textId="77777777" w:rsidR="000C6B6F" w:rsidRPr="003E6F53" w:rsidRDefault="000C6B6F" w:rsidP="000C6B6F"/>
    <w:p w14:paraId="48E6715B" w14:textId="77777777" w:rsidR="000C6B6F" w:rsidRPr="003E6F53" w:rsidRDefault="000C6B6F" w:rsidP="000C6B6F"/>
    <w:p w14:paraId="4B979A15" w14:textId="77777777" w:rsidR="000C6B6F" w:rsidRPr="003E6F53" w:rsidRDefault="000C6B6F" w:rsidP="000C6B6F"/>
    <w:p w14:paraId="11FEF24C" w14:textId="77777777" w:rsidR="000C6B6F" w:rsidRPr="003E6F53" w:rsidRDefault="000C6B6F" w:rsidP="000C6B6F"/>
    <w:p w14:paraId="7CA1F8D7" w14:textId="77777777" w:rsidR="000C6B6F" w:rsidRPr="003E6F53" w:rsidRDefault="00FA55B1" w:rsidP="000C6B6F">
      <w:pPr>
        <w:jc w:val="center"/>
        <w:rPr>
          <w:b/>
          <w:color w:val="FFFFFF"/>
          <w:sz w:val="28"/>
        </w:rPr>
      </w:pPr>
      <w:r w:rsidRPr="003E6F53">
        <w:rPr>
          <w:b/>
          <w:color w:val="FFFFFF"/>
          <w:sz w:val="28"/>
        </w:rPr>
        <w:t xml:space="preserve">Appendix </w:t>
      </w:r>
      <w:r w:rsidR="007473BE" w:rsidRPr="003E6F53">
        <w:rPr>
          <w:b/>
          <w:color w:val="FFFFFF"/>
          <w:sz w:val="28"/>
        </w:rPr>
        <w:t>1</w:t>
      </w:r>
      <w:r w:rsidRPr="003E6F53">
        <w:rPr>
          <w:b/>
          <w:color w:val="FFFFFF"/>
          <w:sz w:val="28"/>
        </w:rPr>
        <w:t xml:space="preserve"> - </w:t>
      </w:r>
      <w:r w:rsidR="00547990" w:rsidRPr="003E6F53">
        <w:rPr>
          <w:b/>
          <w:color w:val="FFFFFF"/>
          <w:sz w:val="28"/>
        </w:rPr>
        <w:t xml:space="preserve">Questionnaire to </w:t>
      </w:r>
      <w:r w:rsidRPr="003E6F53">
        <w:rPr>
          <w:b/>
          <w:color w:val="FFFFFF"/>
          <w:sz w:val="28"/>
        </w:rPr>
        <w:t xml:space="preserve">national </w:t>
      </w:r>
      <w:r w:rsidR="000B6327" w:rsidRPr="003E6F53">
        <w:rPr>
          <w:b/>
          <w:color w:val="FFFFFF"/>
          <w:sz w:val="28"/>
        </w:rPr>
        <w:t xml:space="preserve">tax </w:t>
      </w:r>
      <w:r w:rsidRPr="003E6F53">
        <w:rPr>
          <w:b/>
          <w:color w:val="FFFFFF"/>
          <w:sz w:val="28"/>
        </w:rPr>
        <w:t>experts</w:t>
      </w:r>
    </w:p>
    <w:p w14:paraId="363C330A" w14:textId="1FD96533" w:rsidR="00A06EB3" w:rsidRPr="003E6F53" w:rsidRDefault="00A06EB3" w:rsidP="000C6B6F">
      <w:pPr>
        <w:jc w:val="center"/>
        <w:rPr>
          <w:b/>
          <w:color w:val="FFFFFF"/>
          <w:sz w:val="28"/>
        </w:rPr>
      </w:pPr>
      <w:r w:rsidRPr="003E6F53">
        <w:rPr>
          <w:b/>
          <w:color w:val="FFFFFF"/>
          <w:sz w:val="28"/>
        </w:rPr>
        <w:t>Filled in for</w:t>
      </w:r>
      <w:r w:rsidR="00546D83" w:rsidRPr="003E6F53">
        <w:rPr>
          <w:b/>
          <w:color w:val="FFFFFF"/>
          <w:sz w:val="28"/>
        </w:rPr>
        <w:t xml:space="preserve"> Lithuania</w:t>
      </w:r>
    </w:p>
    <w:p w14:paraId="6CD448E3" w14:textId="4CD20696" w:rsidR="000C6B6F" w:rsidRPr="003E6F53" w:rsidRDefault="00546D83" w:rsidP="000C6B6F">
      <w:r w:rsidRPr="003E6F53">
        <w:rPr>
          <w:noProof/>
          <w:lang w:val="en-US" w:eastAsia="en-US"/>
        </w:rPr>
        <w:drawing>
          <wp:anchor distT="0" distB="0" distL="114300" distR="114300" simplePos="0" relativeHeight="251660288" behindDoc="1" locked="0" layoutInCell="1" allowOverlap="1" wp14:anchorId="0CF40E21" wp14:editId="30538EFF">
            <wp:simplePos x="0" y="0"/>
            <wp:positionH relativeFrom="column">
              <wp:posOffset>2139315</wp:posOffset>
            </wp:positionH>
            <wp:positionV relativeFrom="paragraph">
              <wp:posOffset>118745</wp:posOffset>
            </wp:positionV>
            <wp:extent cx="1238250" cy="747395"/>
            <wp:effectExtent l="0" t="0" r="0" b="0"/>
            <wp:wrapTight wrapText="bothSides">
              <wp:wrapPolygon edited="0">
                <wp:start x="0" y="0"/>
                <wp:lineTo x="0" y="20921"/>
                <wp:lineTo x="21268" y="20921"/>
                <wp:lineTo x="21268" y="0"/>
                <wp:lineTo x="0" y="0"/>
              </wp:wrapPolygon>
            </wp:wrapTight>
            <wp:docPr id="27" name="Billed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747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3E6F53" w:rsidRDefault="000C6B6F" w:rsidP="000C6B6F"/>
    <w:p w14:paraId="5887FACD" w14:textId="77777777" w:rsidR="000C6B6F" w:rsidRPr="003E6F53" w:rsidRDefault="000C6B6F" w:rsidP="000C6B6F"/>
    <w:p w14:paraId="73AD60F0" w14:textId="77777777" w:rsidR="000C6B6F" w:rsidRPr="003E6F53" w:rsidRDefault="000C6B6F" w:rsidP="000C6B6F"/>
    <w:p w14:paraId="5D6CC88D" w14:textId="1A283C85" w:rsidR="000C6B6F" w:rsidRPr="003E6F53" w:rsidRDefault="000C6B6F" w:rsidP="000C6B6F"/>
    <w:p w14:paraId="3156C2AF" w14:textId="77777777" w:rsidR="000C6B6F" w:rsidRPr="003E6F53" w:rsidRDefault="000C6B6F" w:rsidP="000C6B6F"/>
    <w:p w14:paraId="687777E8" w14:textId="77777777" w:rsidR="000C6B6F" w:rsidRPr="003E6F53" w:rsidRDefault="000C6B6F" w:rsidP="000C6B6F"/>
    <w:p w14:paraId="4A3FF24C" w14:textId="49BF594F" w:rsidR="000C6B6F" w:rsidRPr="003E6F53" w:rsidRDefault="000C6B6F" w:rsidP="000C6B6F"/>
    <w:p w14:paraId="123F207C" w14:textId="77777777" w:rsidR="000C6B6F" w:rsidRPr="003E6F53" w:rsidRDefault="000C6B6F" w:rsidP="000C6B6F"/>
    <w:p w14:paraId="1ACDE47B" w14:textId="77777777" w:rsidR="000C6B6F" w:rsidRPr="003E6F53" w:rsidRDefault="000C6B6F" w:rsidP="000C6B6F"/>
    <w:p w14:paraId="67C2F555" w14:textId="77777777" w:rsidR="000C6B6F" w:rsidRPr="003E6F53" w:rsidRDefault="000C6B6F" w:rsidP="000C6B6F"/>
    <w:p w14:paraId="3D4AB5FD" w14:textId="77777777" w:rsidR="000C6B6F" w:rsidRPr="003E6F53" w:rsidRDefault="005229D9" w:rsidP="000C6B6F">
      <w:r>
        <w:rPr>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3E6F53" w:rsidRDefault="000C6B6F" w:rsidP="000C6B6F"/>
    <w:p w14:paraId="58CFA02B" w14:textId="77777777" w:rsidR="000C6B6F" w:rsidRPr="003E6F53" w:rsidRDefault="000C6B6F" w:rsidP="000C6B6F"/>
    <w:p w14:paraId="30408430" w14:textId="77777777" w:rsidR="00B41BBD" w:rsidRPr="003E6F53" w:rsidRDefault="00B41BBD" w:rsidP="00B41BBD">
      <w:pPr>
        <w:tabs>
          <w:tab w:val="left" w:pos="7500"/>
        </w:tabs>
        <w:rPr>
          <w:b/>
        </w:rPr>
      </w:pPr>
    </w:p>
    <w:p w14:paraId="361BF4DD" w14:textId="77777777" w:rsidR="00547990" w:rsidRPr="003E6F53" w:rsidRDefault="00D67218" w:rsidP="00547990">
      <w:pPr>
        <w:pBdr>
          <w:bottom w:val="single" w:sz="4" w:space="1" w:color="1F497D"/>
        </w:pBdr>
        <w:rPr>
          <w:b/>
          <w:color w:val="1F497D"/>
        </w:rPr>
      </w:pPr>
      <w:r w:rsidRPr="003E6F53">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3E6F53">
        <w:rPr>
          <w:b/>
          <w:color w:val="1F497D"/>
        </w:rPr>
        <w:br w:type="page"/>
      </w:r>
      <w:r w:rsidR="00F4731C" w:rsidRPr="003E6F53">
        <w:rPr>
          <w:b/>
          <w:color w:val="1F497D"/>
        </w:rPr>
        <w:lastRenderedPageBreak/>
        <w:t>QUESTIONNAIRE</w:t>
      </w:r>
    </w:p>
    <w:p w14:paraId="698D8A70" w14:textId="77777777" w:rsidR="00547990" w:rsidRPr="003E6F53" w:rsidRDefault="00547990" w:rsidP="00547990"/>
    <w:p w14:paraId="7E505701" w14:textId="0FFDBDF2" w:rsidR="00A06EB3" w:rsidRPr="003E6F53" w:rsidRDefault="00546D83" w:rsidP="00A06EB3">
      <w:pPr>
        <w:pBdr>
          <w:bottom w:val="single" w:sz="4" w:space="1" w:color="1F497D"/>
        </w:pBdr>
        <w:rPr>
          <w:b/>
          <w:color w:val="1F497D"/>
        </w:rPr>
      </w:pPr>
      <w:r w:rsidRPr="003E6F53">
        <w:rPr>
          <w:b/>
          <w:color w:val="1F497D"/>
        </w:rPr>
        <w:t>Lithuania</w:t>
      </w:r>
    </w:p>
    <w:p w14:paraId="419CEEDB" w14:textId="5CCD6BE3" w:rsidR="00A06EB3" w:rsidRPr="003E6F53" w:rsidRDefault="00A06EB3" w:rsidP="00A06EB3">
      <w:pPr>
        <w:pStyle w:val="Heading2"/>
      </w:pPr>
      <w:r w:rsidRPr="003E6F53">
        <w:t>Abbreviations</w:t>
      </w:r>
    </w:p>
    <w:p w14:paraId="12FF286A" w14:textId="1EF02862" w:rsidR="00A06EB3" w:rsidRPr="003E6F53" w:rsidRDefault="003A3C80" w:rsidP="00A06EB3">
      <w:pPr>
        <w:rPr>
          <w:b/>
        </w:rPr>
      </w:pPr>
      <w:r w:rsidRPr="003E6F53">
        <w:rPr>
          <w:b/>
        </w:rPr>
        <w:t xml:space="preserve">CIT </w:t>
      </w:r>
      <w:r w:rsidR="005004FA" w:rsidRPr="003E6F53">
        <w:rPr>
          <w:b/>
        </w:rPr>
        <w:t xml:space="preserve">Law </w:t>
      </w:r>
      <w:r w:rsidRPr="003E6F53">
        <w:rPr>
          <w:b/>
        </w:rPr>
        <w:t>– Law on Corporate income Tax of the Republic of Lithuania</w:t>
      </w:r>
    </w:p>
    <w:p w14:paraId="578455A7" w14:textId="103151EC" w:rsidR="003A3C80" w:rsidRPr="003E6F53" w:rsidRDefault="003A3C80" w:rsidP="00A06EB3">
      <w:pPr>
        <w:rPr>
          <w:b/>
        </w:rPr>
      </w:pPr>
      <w:r w:rsidRPr="003E6F53">
        <w:rPr>
          <w:b/>
        </w:rPr>
        <w:t>Law on Tax Administration – Law on Tax Administration of the Republic of Lithuania</w:t>
      </w:r>
    </w:p>
    <w:p w14:paraId="7F94F2BE" w14:textId="77190A4F" w:rsidR="003A3C80" w:rsidRPr="003E6F53" w:rsidRDefault="003A3C80" w:rsidP="00A06EB3">
      <w:pPr>
        <w:rPr>
          <w:b/>
        </w:rPr>
      </w:pPr>
      <w:r w:rsidRPr="003E6F53">
        <w:rPr>
          <w:b/>
        </w:rPr>
        <w:t>CIT – Corporate Income Tax</w:t>
      </w:r>
    </w:p>
    <w:p w14:paraId="59540969" w14:textId="0223B2BB" w:rsidR="001D6140" w:rsidRPr="003E6F53" w:rsidRDefault="001D6140" w:rsidP="00A06EB3">
      <w:pPr>
        <w:rPr>
          <w:b/>
        </w:rPr>
      </w:pPr>
      <w:r w:rsidRPr="003E6F53">
        <w:rPr>
          <w:b/>
        </w:rPr>
        <w:t>MoF – Minister of Finance of the Republic of Lithuania</w:t>
      </w:r>
    </w:p>
    <w:p w14:paraId="14D894A8" w14:textId="47E74E06" w:rsidR="005B6A7B" w:rsidRPr="003E6F53" w:rsidRDefault="005B6A7B" w:rsidP="00A06EB3">
      <w:pPr>
        <w:rPr>
          <w:b/>
        </w:rPr>
      </w:pPr>
      <w:r w:rsidRPr="003E6F53">
        <w:rPr>
          <w:b/>
        </w:rPr>
        <w:t>CIT La</w:t>
      </w:r>
      <w:r w:rsidR="00916F38" w:rsidRPr="003E6F53">
        <w:rPr>
          <w:b/>
        </w:rPr>
        <w:t>w</w:t>
      </w:r>
      <w:r w:rsidRPr="003E6F53">
        <w:rPr>
          <w:b/>
        </w:rPr>
        <w:t xml:space="preserve"> Commentary – official commentary to the CIT Law </w:t>
      </w:r>
      <w:r w:rsidR="005F14B0" w:rsidRPr="003E6F53">
        <w:rPr>
          <w:b/>
        </w:rPr>
        <w:t>published by the State Tax Inspectorate of the Republic of Lithuania and approved by the Ministry of Finance of the Republic of Lithuania</w:t>
      </w:r>
    </w:p>
    <w:p w14:paraId="07D10BC7" w14:textId="5EDF705B" w:rsidR="00A06EB3" w:rsidRPr="003E6F53" w:rsidRDefault="002D1B19" w:rsidP="00547990">
      <w:pPr>
        <w:rPr>
          <w:b/>
        </w:rPr>
      </w:pPr>
      <w:r w:rsidRPr="003E6F53">
        <w:rPr>
          <w:b/>
        </w:rPr>
        <w:t xml:space="preserve">Rules on Requalification – Rules on Requalification of Income and Payments approved by the </w:t>
      </w:r>
      <w:r w:rsidR="002D108B" w:rsidRPr="003E6F53">
        <w:rPr>
          <w:b/>
        </w:rPr>
        <w:t>Government of the Republic of Lithuania (No 1575, dated 9 December 2003)</w:t>
      </w:r>
    </w:p>
    <w:p w14:paraId="79BD872A" w14:textId="77777777" w:rsidR="00A06EB3" w:rsidRPr="003E6F53" w:rsidRDefault="00A06EB3" w:rsidP="00547990"/>
    <w:p w14:paraId="76F74719" w14:textId="77777777" w:rsidR="00A06EB3" w:rsidRPr="003E6F53"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3E6F53"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3E6F53" w:rsidRDefault="0097352D" w:rsidP="00F8230D">
            <w:pPr>
              <w:rPr>
                <w:color w:val="FFFFFF" w:themeColor="background1"/>
                <w:lang w:val="en-GB"/>
              </w:rPr>
            </w:pPr>
            <w:r w:rsidRPr="003E6F53">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3E6F53"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3E6F53">
              <w:rPr>
                <w:color w:val="FFFFFF" w:themeColor="background1"/>
                <w:lang w:val="en-GB"/>
              </w:rPr>
              <w:t>Answers</w:t>
            </w:r>
          </w:p>
        </w:tc>
      </w:tr>
      <w:tr w:rsidR="0097352D" w:rsidRPr="003E6F53"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3E6F53" w:rsidRDefault="0097352D" w:rsidP="00F8230D">
            <w:pPr>
              <w:rPr>
                <w:lang w:val="en-GB"/>
              </w:rPr>
            </w:pPr>
            <w:r w:rsidRPr="003E6F53">
              <w:rPr>
                <w:i/>
                <w:sz w:val="16"/>
                <w:szCs w:val="16"/>
                <w:lang w:val="en-GB"/>
              </w:rPr>
              <w:t>Corporate tax rate</w:t>
            </w:r>
          </w:p>
        </w:tc>
      </w:tr>
      <w:tr w:rsidR="0026298E" w:rsidRPr="003E6F53"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3E6F53" w:rsidRDefault="0026298E" w:rsidP="0026298E">
            <w:pPr>
              <w:pStyle w:val="ListNumber"/>
              <w:tabs>
                <w:tab w:val="clear" w:pos="284"/>
              </w:tabs>
              <w:ind w:left="340" w:hanging="340"/>
              <w:jc w:val="left"/>
              <w:rPr>
                <w:b w:val="0"/>
                <w:color w:val="auto"/>
                <w:lang w:val="en-GB"/>
              </w:rPr>
            </w:pPr>
            <w:r w:rsidRPr="003E6F53">
              <w:rPr>
                <w:b w:val="0"/>
                <w:color w:val="auto"/>
                <w:sz w:val="16"/>
                <w:szCs w:val="16"/>
                <w:lang w:val="en-GB"/>
              </w:rPr>
              <w:t>What is the standard rate of corporate income tax applicable for the fiscal year 2015?</w:t>
            </w:r>
          </w:p>
        </w:tc>
        <w:tc>
          <w:tcPr>
            <w:tcW w:w="3933" w:type="dxa"/>
          </w:tcPr>
          <w:p w14:paraId="7115D63E" w14:textId="77777777" w:rsidR="00546D83" w:rsidRPr="003E6F53" w:rsidRDefault="00546D8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15 %.</w:t>
            </w:r>
          </w:p>
          <w:p w14:paraId="7DB94309" w14:textId="77777777" w:rsidR="0026298E" w:rsidRPr="003E6F53"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3E6F53"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3E6F53" w:rsidRDefault="00983DFA" w:rsidP="00427661">
            <w:pPr>
              <w:pStyle w:val="ListNumber"/>
              <w:tabs>
                <w:tab w:val="clear" w:pos="284"/>
              </w:tabs>
              <w:ind w:left="340" w:hanging="340"/>
              <w:jc w:val="left"/>
              <w:rPr>
                <w:b w:val="0"/>
                <w:color w:val="auto"/>
                <w:lang w:val="en-GB"/>
              </w:rPr>
            </w:pPr>
            <w:r w:rsidRPr="003E6F53">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05647D7A" w14:textId="77777777" w:rsidR="0097352D" w:rsidRPr="003E6F53" w:rsidRDefault="00D06F74"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p w14:paraId="45B7762C" w14:textId="2E656FC9" w:rsidR="00D06F74" w:rsidRPr="003E6F53" w:rsidRDefault="00D06F74" w:rsidP="00F5340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(There are special tax regimes for </w:t>
            </w:r>
            <w:r w:rsidR="00FF52BF" w:rsidRPr="003E6F53">
              <w:rPr>
                <w:color w:val="auto"/>
                <w:sz w:val="16"/>
                <w:szCs w:val="16"/>
                <w:lang w:val="en-GB"/>
              </w:rPr>
              <w:t>certain entities, but these are generally not used for ATP purposes</w:t>
            </w:r>
            <w:r w:rsidR="00F53406" w:rsidRPr="003E6F53">
              <w:rPr>
                <w:color w:val="auto"/>
                <w:sz w:val="16"/>
                <w:szCs w:val="16"/>
                <w:lang w:val="en-GB"/>
              </w:rPr>
              <w:t>,</w:t>
            </w:r>
            <w:r w:rsidR="00FF52BF" w:rsidRPr="003E6F53">
              <w:rPr>
                <w:color w:val="auto"/>
                <w:sz w:val="16"/>
                <w:szCs w:val="16"/>
                <w:lang w:val="en-GB"/>
              </w:rPr>
              <w:t xml:space="preserve"> </w:t>
            </w:r>
            <w:r w:rsidR="00F53406" w:rsidRPr="003E6F53">
              <w:rPr>
                <w:color w:val="auto"/>
                <w:sz w:val="16"/>
                <w:szCs w:val="16"/>
                <w:lang w:val="en-GB"/>
              </w:rPr>
              <w:t>e</w:t>
            </w:r>
            <w:r w:rsidR="00FF52BF" w:rsidRPr="003E6F53">
              <w:rPr>
                <w:color w:val="auto"/>
                <w:sz w:val="16"/>
                <w:szCs w:val="16"/>
                <w:lang w:val="en-GB"/>
              </w:rPr>
              <w:t xml:space="preserve">.g. </w:t>
            </w:r>
            <w:r w:rsidR="005004FA" w:rsidRPr="003E6F53">
              <w:rPr>
                <w:color w:val="auto"/>
                <w:sz w:val="16"/>
                <w:szCs w:val="16"/>
                <w:lang w:val="en-GB"/>
              </w:rPr>
              <w:t xml:space="preserve">CIT rate is reduced to 5% for </w:t>
            </w:r>
            <w:r w:rsidRPr="003E6F53">
              <w:rPr>
                <w:color w:val="auto"/>
                <w:sz w:val="16"/>
                <w:szCs w:val="16"/>
                <w:lang w:val="en-GB"/>
              </w:rPr>
              <w:t xml:space="preserve">small enterprises having less than 10 employees and </w:t>
            </w:r>
            <w:r w:rsidR="00FF52BF" w:rsidRPr="003E6F53">
              <w:rPr>
                <w:color w:val="auto"/>
                <w:sz w:val="16"/>
                <w:szCs w:val="16"/>
                <w:lang w:val="en-GB"/>
              </w:rPr>
              <w:t>annual turnover below EUR 300,000</w:t>
            </w:r>
            <w:r w:rsidR="001147A5" w:rsidRPr="003E6F53">
              <w:rPr>
                <w:color w:val="auto"/>
                <w:sz w:val="16"/>
                <w:szCs w:val="16"/>
                <w:lang w:val="en-GB"/>
              </w:rPr>
              <w:t xml:space="preserve"> under Article 5(2) of CIT Law</w:t>
            </w:r>
            <w:r w:rsidR="005004FA" w:rsidRPr="003E6F53">
              <w:rPr>
                <w:color w:val="auto"/>
                <w:sz w:val="16"/>
                <w:szCs w:val="16"/>
                <w:lang w:val="en-GB"/>
              </w:rPr>
              <w:t>; income of collective investment vehicles is normally exempt from CIT under</w:t>
            </w:r>
            <w:r w:rsidR="001147A5" w:rsidRPr="003E6F53">
              <w:rPr>
                <w:color w:val="auto"/>
                <w:sz w:val="16"/>
                <w:szCs w:val="16"/>
                <w:lang w:val="en-GB"/>
              </w:rPr>
              <w:t xml:space="preserve"> Article </w:t>
            </w:r>
            <w:r w:rsidR="0001019F" w:rsidRPr="003E6F53">
              <w:rPr>
                <w:color w:val="auto"/>
                <w:sz w:val="16"/>
                <w:szCs w:val="16"/>
                <w:lang w:val="en-GB"/>
              </w:rPr>
              <w:t>12(5) of CIT Law; partial exemption</w:t>
            </w:r>
            <w:r w:rsidR="00A60DE4" w:rsidRPr="003E6F53">
              <w:rPr>
                <w:color w:val="auto"/>
                <w:sz w:val="16"/>
                <w:szCs w:val="16"/>
                <w:lang w:val="en-GB"/>
              </w:rPr>
              <w:t xml:space="preserve"> of income from commercial activities earned by</w:t>
            </w:r>
            <w:r w:rsidR="0001019F" w:rsidRPr="003E6F53">
              <w:rPr>
                <w:color w:val="auto"/>
                <w:sz w:val="16"/>
                <w:szCs w:val="16"/>
                <w:lang w:val="en-GB"/>
              </w:rPr>
              <w:t xml:space="preserve"> </w:t>
            </w:r>
            <w:r w:rsidR="00A60DE4" w:rsidRPr="003E6F53">
              <w:rPr>
                <w:color w:val="auto"/>
                <w:sz w:val="16"/>
                <w:szCs w:val="16"/>
                <w:lang w:val="en-GB"/>
              </w:rPr>
              <w:t xml:space="preserve">non-profit entities such as associations, </w:t>
            </w:r>
            <w:r w:rsidR="00F53406" w:rsidRPr="003E6F53">
              <w:rPr>
                <w:color w:val="auto"/>
                <w:sz w:val="16"/>
                <w:szCs w:val="16"/>
                <w:lang w:val="en-GB"/>
              </w:rPr>
              <w:t xml:space="preserve">charity foundations etc. Under Article 5(4) of </w:t>
            </w:r>
            <w:r w:rsidR="0001019F" w:rsidRPr="003E6F53">
              <w:rPr>
                <w:color w:val="auto"/>
                <w:sz w:val="16"/>
                <w:szCs w:val="16"/>
                <w:lang w:val="en-GB"/>
              </w:rPr>
              <w:t xml:space="preserve">CIT </w:t>
            </w:r>
            <w:r w:rsidR="00F53406" w:rsidRPr="003E6F53">
              <w:rPr>
                <w:color w:val="auto"/>
                <w:sz w:val="16"/>
                <w:szCs w:val="16"/>
                <w:lang w:val="en-GB"/>
              </w:rPr>
              <w:t>Law</w:t>
            </w:r>
            <w:r w:rsidR="001147A5" w:rsidRPr="003E6F53">
              <w:rPr>
                <w:color w:val="auto"/>
                <w:sz w:val="16"/>
                <w:szCs w:val="16"/>
                <w:lang w:val="en-GB"/>
              </w:rPr>
              <w:t>).</w:t>
            </w:r>
          </w:p>
        </w:tc>
      </w:tr>
      <w:tr w:rsidR="0097352D" w:rsidRPr="003E6F53"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B2E6FE2" w:rsidR="0097352D" w:rsidRPr="003E6F53" w:rsidRDefault="0097352D" w:rsidP="00427661">
            <w:pPr>
              <w:rPr>
                <w:color w:val="auto"/>
                <w:lang w:val="en-GB"/>
              </w:rPr>
            </w:pPr>
            <w:r w:rsidRPr="003E6F53">
              <w:rPr>
                <w:i/>
                <w:color w:val="auto"/>
                <w:sz w:val="16"/>
                <w:szCs w:val="16"/>
                <w:lang w:val="en-GB"/>
              </w:rPr>
              <w:t>Dividends received</w:t>
            </w:r>
          </w:p>
        </w:tc>
      </w:tr>
      <w:tr w:rsidR="0097352D" w:rsidRPr="003E6F53"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3E6F53" w:rsidRDefault="0097352D" w:rsidP="00427661">
            <w:pPr>
              <w:pStyle w:val="ListNumber"/>
              <w:tabs>
                <w:tab w:val="clear" w:pos="284"/>
              </w:tabs>
              <w:ind w:left="340" w:hanging="340"/>
              <w:jc w:val="left"/>
              <w:rPr>
                <w:b w:val="0"/>
                <w:color w:val="auto"/>
                <w:sz w:val="16"/>
                <w:szCs w:val="16"/>
                <w:lang w:val="en-GB"/>
              </w:rPr>
            </w:pPr>
            <w:r w:rsidRPr="003E6F53">
              <w:rPr>
                <w:b w:val="0"/>
                <w:color w:val="auto"/>
                <w:sz w:val="16"/>
                <w:szCs w:val="16"/>
                <w:lang w:val="en-GB"/>
              </w:rPr>
              <w:t>Is it possible for a company in your MS to receive dividends from a foreign company free of tax (or at a greatly reduced rate of tax</w:t>
            </w:r>
            <w:r w:rsidR="00A30052" w:rsidRPr="003E6F53">
              <w:rPr>
                <w:b w:val="0"/>
                <w:color w:val="auto"/>
                <w:sz w:val="16"/>
                <w:szCs w:val="16"/>
                <w:lang w:val="en-GB"/>
              </w:rPr>
              <w:t>, e.g. 95% tax-exemption</w:t>
            </w:r>
            <w:r w:rsidRPr="003E6F53">
              <w:rPr>
                <w:b w:val="0"/>
                <w:color w:val="auto"/>
                <w:sz w:val="16"/>
                <w:szCs w:val="16"/>
                <w:lang w:val="en-GB"/>
              </w:rPr>
              <w:t>)?</w:t>
            </w:r>
          </w:p>
        </w:tc>
        <w:tc>
          <w:tcPr>
            <w:tcW w:w="3933" w:type="dxa"/>
          </w:tcPr>
          <w:p w14:paraId="520AB437" w14:textId="77777777" w:rsidR="00546D83" w:rsidRPr="003E6F53" w:rsidRDefault="00546D83" w:rsidP="00546D8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p w14:paraId="706EC42A" w14:textId="77777777" w:rsidR="0097352D" w:rsidRPr="003E6F53"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3E6F53"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3E6F53" w:rsidRDefault="0097352D" w:rsidP="00427661">
            <w:pPr>
              <w:pStyle w:val="ListNumber"/>
              <w:tabs>
                <w:tab w:val="clear" w:pos="284"/>
              </w:tabs>
              <w:ind w:left="340" w:hanging="340"/>
              <w:jc w:val="left"/>
              <w:rPr>
                <w:b w:val="0"/>
                <w:color w:val="auto"/>
                <w:sz w:val="16"/>
                <w:szCs w:val="16"/>
                <w:lang w:val="en-GB"/>
              </w:rPr>
            </w:pPr>
            <w:r w:rsidRPr="003E6F53">
              <w:rPr>
                <w:b w:val="0"/>
                <w:color w:val="auto"/>
                <w:sz w:val="16"/>
                <w:szCs w:val="16"/>
                <w:lang w:val="en-GB"/>
              </w:rPr>
              <w:t xml:space="preserve">If yes to question </w:t>
            </w:r>
            <w:r w:rsidR="003A6F57" w:rsidRPr="003E6F53">
              <w:rPr>
                <w:b w:val="0"/>
                <w:color w:val="auto"/>
                <w:sz w:val="16"/>
                <w:szCs w:val="16"/>
                <w:lang w:val="en-GB"/>
              </w:rPr>
              <w:t>3</w:t>
            </w:r>
            <w:r w:rsidRPr="003E6F53">
              <w:rPr>
                <w:b w:val="0"/>
                <w:color w:val="auto"/>
                <w:sz w:val="16"/>
                <w:szCs w:val="16"/>
                <w:lang w:val="en-GB"/>
              </w:rPr>
              <w:t>:</w:t>
            </w:r>
          </w:p>
        </w:tc>
        <w:tc>
          <w:tcPr>
            <w:tcW w:w="3933" w:type="dxa"/>
          </w:tcPr>
          <w:p w14:paraId="5CB904D3" w14:textId="77777777" w:rsidR="0097352D" w:rsidRPr="003E6F53"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3E6F53"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3E6F53" w:rsidRDefault="00455A2B" w:rsidP="00455A2B">
            <w:pPr>
              <w:pStyle w:val="ListParagraph"/>
              <w:numPr>
                <w:ilvl w:val="0"/>
                <w:numId w:val="20"/>
              </w:numPr>
              <w:spacing w:line="240" w:lineRule="auto"/>
              <w:jc w:val="left"/>
              <w:rPr>
                <w:b w:val="0"/>
                <w:sz w:val="16"/>
                <w:szCs w:val="16"/>
                <w:lang w:val="en-GB"/>
              </w:rPr>
            </w:pPr>
            <w:r w:rsidRPr="003E6F53">
              <w:rPr>
                <w:b w:val="0"/>
                <w:sz w:val="16"/>
                <w:szCs w:val="16"/>
                <w:lang w:val="en-GB"/>
              </w:rPr>
              <w:t>Does this apply regardless of the tax residence of the distributing company, e.g. Member State, treaty state, tax haven?</w:t>
            </w:r>
          </w:p>
        </w:tc>
        <w:tc>
          <w:tcPr>
            <w:tcW w:w="3933" w:type="dxa"/>
          </w:tcPr>
          <w:p w14:paraId="52DDCDB8" w14:textId="77777777" w:rsidR="00546D83" w:rsidRPr="003E6F53" w:rsidRDefault="00546D83" w:rsidP="00546D8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The exemption only applies if:</w:t>
            </w:r>
          </w:p>
          <w:p w14:paraId="2229FF89" w14:textId="77777777" w:rsidR="00546D83" w:rsidRPr="003E6F53" w:rsidRDefault="00546D83" w:rsidP="00546D83">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3E6F53">
              <w:rPr>
                <w:rFonts w:eastAsiaTheme="minorHAnsi" w:cstheme="minorBidi"/>
                <w:sz w:val="16"/>
                <w:szCs w:val="16"/>
                <w:lang w:val="en-GB" w:eastAsia="en-US"/>
              </w:rPr>
              <w:t>The distributing company is subject to corporate income tax or equivalent tax in its residence country; and</w:t>
            </w:r>
          </w:p>
          <w:p w14:paraId="403CEFA1" w14:textId="77777777" w:rsidR="00546D83" w:rsidRPr="003E6F53" w:rsidRDefault="00546D83" w:rsidP="00546D83">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rFonts w:eastAsiaTheme="minorHAnsi" w:cstheme="minorBidi"/>
                <w:sz w:val="16"/>
                <w:szCs w:val="16"/>
                <w:lang w:val="en-GB" w:eastAsia="en-US"/>
              </w:rPr>
            </w:pPr>
            <w:r w:rsidRPr="003E6F53">
              <w:rPr>
                <w:rFonts w:eastAsiaTheme="minorHAnsi" w:cstheme="minorBidi"/>
                <w:sz w:val="16"/>
                <w:szCs w:val="16"/>
                <w:lang w:val="en-GB" w:eastAsia="en-US"/>
              </w:rPr>
              <w:t>The distributing company is not registered or otherwise organized in a listed tax haven.</w:t>
            </w:r>
          </w:p>
          <w:p w14:paraId="7CC1CA8D" w14:textId="05270204" w:rsidR="00546D83" w:rsidRPr="003E6F53" w:rsidRDefault="001D6140" w:rsidP="00546D83">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Tax heaven is a territory included into the list approved by the MoF (No 344, dated 22 December 2011)</w:t>
            </w:r>
            <w:r w:rsidR="007B5D84" w:rsidRPr="003E6F53">
              <w:rPr>
                <w:color w:val="auto"/>
                <w:sz w:val="16"/>
                <w:szCs w:val="16"/>
                <w:lang w:val="en-GB"/>
              </w:rPr>
              <w:t xml:space="preserve"> and meeting at least two of the following criteria:</w:t>
            </w:r>
          </w:p>
          <w:p w14:paraId="5D7BC603" w14:textId="166D83A2" w:rsidR="007B5D84" w:rsidRPr="003E6F53" w:rsidRDefault="007B5D84" w:rsidP="007B5D84">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Tax rate is lower than 75% of CIT rate applicable in Lithuania (indicated </w:t>
            </w:r>
            <w:r w:rsidR="003D18C2" w:rsidRPr="003E6F53">
              <w:rPr>
                <w:color w:val="auto"/>
                <w:sz w:val="16"/>
                <w:szCs w:val="16"/>
                <w:lang w:val="en-GB"/>
              </w:rPr>
              <w:t xml:space="preserve">Section </w:t>
            </w:r>
            <w:r w:rsidRPr="003E6F53">
              <w:rPr>
                <w:color w:val="auto"/>
                <w:sz w:val="16"/>
                <w:szCs w:val="16"/>
                <w:lang w:val="en-GB"/>
              </w:rPr>
              <w:t>1 above)</w:t>
            </w:r>
            <w:r w:rsidR="00D46788" w:rsidRPr="003E6F53">
              <w:rPr>
                <w:color w:val="auto"/>
                <w:sz w:val="16"/>
                <w:szCs w:val="16"/>
                <w:lang w:val="en-GB"/>
              </w:rPr>
              <w:t>;</w:t>
            </w:r>
          </w:p>
          <w:p w14:paraId="243CF11D" w14:textId="3EA31522" w:rsidR="00D46788" w:rsidRPr="003E6F53" w:rsidRDefault="00D46788" w:rsidP="007B5D84">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Taxation </w:t>
            </w:r>
            <w:r w:rsidR="006E0347" w:rsidRPr="003E6F53">
              <w:rPr>
                <w:color w:val="auto"/>
                <w:sz w:val="16"/>
                <w:szCs w:val="16"/>
                <w:lang w:val="en-GB"/>
              </w:rPr>
              <w:t xml:space="preserve">rules </w:t>
            </w:r>
            <w:r w:rsidRPr="003E6F53">
              <w:rPr>
                <w:color w:val="auto"/>
                <w:sz w:val="16"/>
                <w:szCs w:val="16"/>
                <w:lang w:val="en-GB"/>
              </w:rPr>
              <w:t>differ depending on the country of registration or other organisation of the controlling entity;</w:t>
            </w:r>
          </w:p>
          <w:p w14:paraId="43E5D528" w14:textId="57F73E49" w:rsidR="00D46788" w:rsidRPr="003E6F53" w:rsidRDefault="006E0347" w:rsidP="007B5D84">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Taxation rules differ depending on in which country activities are carried out;</w:t>
            </w:r>
          </w:p>
          <w:p w14:paraId="431D511C" w14:textId="29EEAE64" w:rsidR="006E0347" w:rsidRPr="003E6F53" w:rsidRDefault="004F6455" w:rsidP="007B5D84">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lastRenderedPageBreak/>
              <w:t>The controlled entity has concluded an agreement with the tax administrator on tax rate or tax base;</w:t>
            </w:r>
          </w:p>
          <w:p w14:paraId="44A50B58" w14:textId="6CEF49BE" w:rsidR="004F6455" w:rsidRPr="003E6F53" w:rsidRDefault="004F6455" w:rsidP="007B5D84">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There are no effective rules on exchange of information;</w:t>
            </w:r>
          </w:p>
          <w:p w14:paraId="730A8185" w14:textId="1197BF37" w:rsidR="00455A2B" w:rsidRPr="003E6F53" w:rsidRDefault="004F6455" w:rsidP="00546D83">
            <w:pPr>
              <w:numPr>
                <w:ilvl w:val="0"/>
                <w:numId w:val="3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There is </w:t>
            </w:r>
            <w:r w:rsidR="008E3637" w:rsidRPr="003E6F53">
              <w:rPr>
                <w:color w:val="auto"/>
                <w:sz w:val="16"/>
                <w:szCs w:val="16"/>
                <w:lang w:val="en-GB"/>
              </w:rPr>
              <w:t xml:space="preserve">no </w:t>
            </w:r>
            <w:r w:rsidRPr="003E6F53">
              <w:rPr>
                <w:color w:val="auto"/>
                <w:sz w:val="16"/>
                <w:szCs w:val="16"/>
                <w:lang w:val="en-GB"/>
              </w:rPr>
              <w:t>financial-administrative transparency</w:t>
            </w:r>
            <w:r w:rsidR="000712A6" w:rsidRPr="003E6F53">
              <w:rPr>
                <w:color w:val="auto"/>
                <w:sz w:val="16"/>
                <w:szCs w:val="16"/>
                <w:lang w:val="en-GB"/>
              </w:rPr>
              <w:t>, i.e. tax rules are unclear and information about the implementation thereof is not disclosed to tax administrators of other countries.</w:t>
            </w:r>
          </w:p>
        </w:tc>
      </w:tr>
      <w:tr w:rsidR="0097352D" w:rsidRPr="003E6F53"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4646E6D2" w:rsidR="0097352D" w:rsidRPr="003E6F53" w:rsidRDefault="0097352D" w:rsidP="00427661">
            <w:pPr>
              <w:pStyle w:val="ListParagraph"/>
              <w:numPr>
                <w:ilvl w:val="0"/>
                <w:numId w:val="20"/>
              </w:numPr>
              <w:spacing w:line="240" w:lineRule="auto"/>
              <w:jc w:val="left"/>
              <w:rPr>
                <w:b w:val="0"/>
                <w:sz w:val="16"/>
                <w:szCs w:val="16"/>
                <w:lang w:val="en-GB"/>
              </w:rPr>
            </w:pPr>
            <w:r w:rsidRPr="003E6F53">
              <w:rPr>
                <w:b w:val="0"/>
                <w:sz w:val="16"/>
                <w:szCs w:val="16"/>
                <w:lang w:val="en-GB"/>
              </w:rPr>
              <w:lastRenderedPageBreak/>
              <w:t xml:space="preserve">Does this apply regardless of the level of shareholding or voting rights held in the distributing company?  </w:t>
            </w:r>
          </w:p>
        </w:tc>
        <w:tc>
          <w:tcPr>
            <w:tcW w:w="3933" w:type="dxa"/>
          </w:tcPr>
          <w:p w14:paraId="7398895C" w14:textId="4CFD5242" w:rsidR="0097352D" w:rsidRPr="003E6F53" w:rsidRDefault="00546D83" w:rsidP="00F4481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The exemption only applies if the recipient company owns at least 10% of the voting shares in the distributing company for an uninterrupted period of at least 12 months</w:t>
            </w:r>
            <w:r w:rsidR="008E3637" w:rsidRPr="003E6F53">
              <w:rPr>
                <w:color w:val="auto"/>
                <w:sz w:val="16"/>
                <w:szCs w:val="16"/>
                <w:lang w:val="en-GB"/>
              </w:rPr>
              <w:t xml:space="preserve"> (</w:t>
            </w:r>
            <w:r w:rsidR="00F44814" w:rsidRPr="003E6F53">
              <w:rPr>
                <w:color w:val="auto"/>
                <w:sz w:val="16"/>
                <w:szCs w:val="16"/>
                <w:lang w:val="en-GB"/>
              </w:rPr>
              <w:t>the exemption also applies if the 12 month period matures after the distribution)</w:t>
            </w:r>
            <w:r w:rsidRPr="003E6F53">
              <w:rPr>
                <w:color w:val="auto"/>
                <w:sz w:val="16"/>
                <w:szCs w:val="16"/>
                <w:lang w:val="en-GB"/>
              </w:rPr>
              <w:t>.</w:t>
            </w:r>
            <w:r w:rsidR="004C3465" w:rsidRPr="003E6F53">
              <w:rPr>
                <w:color w:val="auto"/>
                <w:sz w:val="16"/>
                <w:szCs w:val="16"/>
                <w:lang w:val="en-GB"/>
              </w:rPr>
              <w:t xml:space="preserve"> However, for dividends received from EEA countries the level of shareholding or voting rights is irrelevant (Articles </w:t>
            </w:r>
            <w:r w:rsidR="00897B48" w:rsidRPr="003E6F53">
              <w:rPr>
                <w:color w:val="auto"/>
                <w:sz w:val="16"/>
                <w:szCs w:val="16"/>
                <w:lang w:val="en-GB"/>
              </w:rPr>
              <w:t>35(3) and 35(2) of CIT Law).</w:t>
            </w:r>
          </w:p>
        </w:tc>
      </w:tr>
      <w:tr w:rsidR="0097352D" w:rsidRPr="003E6F53"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3E6F53" w:rsidRDefault="0097352D" w:rsidP="00427661">
            <w:pPr>
              <w:pStyle w:val="ListParagraph"/>
              <w:numPr>
                <w:ilvl w:val="0"/>
                <w:numId w:val="20"/>
              </w:numPr>
              <w:spacing w:line="240" w:lineRule="auto"/>
              <w:jc w:val="left"/>
              <w:rPr>
                <w:b w:val="0"/>
                <w:sz w:val="16"/>
                <w:szCs w:val="16"/>
                <w:lang w:val="en-GB"/>
              </w:rPr>
            </w:pPr>
            <w:r w:rsidRPr="003E6F53">
              <w:rPr>
                <w:b w:val="0"/>
                <w:sz w:val="16"/>
                <w:szCs w:val="16"/>
                <w:lang w:val="en-GB"/>
              </w:rPr>
              <w:t>Does this also apply if the dividends have been deducted by the distributing company in its taxable income?</w:t>
            </w:r>
          </w:p>
        </w:tc>
        <w:tc>
          <w:tcPr>
            <w:tcW w:w="3933" w:type="dxa"/>
          </w:tcPr>
          <w:p w14:paraId="37BE2848" w14:textId="5231419F" w:rsidR="0097352D" w:rsidRPr="003E6F53" w:rsidRDefault="00897B48"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tc>
      </w:tr>
      <w:tr w:rsidR="0097352D" w:rsidRPr="003E6F53"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3E6F53" w:rsidRDefault="00946523" w:rsidP="00427661">
            <w:pPr>
              <w:pStyle w:val="ListParagraph"/>
              <w:numPr>
                <w:ilvl w:val="0"/>
                <w:numId w:val="20"/>
              </w:numPr>
              <w:spacing w:line="240" w:lineRule="auto"/>
              <w:jc w:val="left"/>
              <w:rPr>
                <w:b w:val="0"/>
                <w:sz w:val="16"/>
                <w:szCs w:val="16"/>
                <w:lang w:val="en-GB"/>
              </w:rPr>
            </w:pPr>
            <w:r w:rsidRPr="003E6F53">
              <w:rPr>
                <w:b w:val="0"/>
                <w:sz w:val="16"/>
                <w:szCs w:val="16"/>
                <w:lang w:val="en-GB"/>
              </w:rPr>
              <w:t xml:space="preserve">If yes to b, how will the recent amendment of Article 4 of the EU Parent/Subsidiary </w:t>
            </w:r>
            <w:r w:rsidR="00A30052" w:rsidRPr="003E6F53">
              <w:rPr>
                <w:b w:val="0"/>
                <w:sz w:val="16"/>
                <w:szCs w:val="16"/>
                <w:lang w:val="en-GB"/>
              </w:rPr>
              <w:t>Directive, which</w:t>
            </w:r>
            <w:r w:rsidRPr="003E6F53">
              <w:rPr>
                <w:b w:val="0"/>
                <w:sz w:val="16"/>
                <w:szCs w:val="16"/>
                <w:lang w:val="en-GB"/>
              </w:rPr>
              <w:t xml:space="preserve"> requires Member States to tax dividends if they have been deducted by the subsidiary, affect your answer?</w:t>
            </w:r>
          </w:p>
        </w:tc>
        <w:tc>
          <w:tcPr>
            <w:tcW w:w="3933" w:type="dxa"/>
          </w:tcPr>
          <w:p w14:paraId="2A3EFDD0" w14:textId="77777777" w:rsidR="00812D2B" w:rsidRPr="003E6F53" w:rsidRDefault="00897B48" w:rsidP="00A44AD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We expect the upcoming changes to </w:t>
            </w:r>
            <w:r w:rsidR="008D4A4E" w:rsidRPr="003E6F53">
              <w:rPr>
                <w:color w:val="auto"/>
                <w:sz w:val="16"/>
                <w:szCs w:val="16"/>
                <w:lang w:val="en-GB"/>
              </w:rPr>
              <w:t>have an effect that inbound dividends deducted by the subsidiary established in another Member State are not exempted from CIT.</w:t>
            </w:r>
            <w:r w:rsidR="00C263F7" w:rsidRPr="003E6F53">
              <w:rPr>
                <w:color w:val="auto"/>
                <w:sz w:val="16"/>
                <w:szCs w:val="16"/>
                <w:lang w:val="en-GB"/>
              </w:rPr>
              <w:t xml:space="preserve"> </w:t>
            </w:r>
          </w:p>
          <w:p w14:paraId="6ED41C97" w14:textId="77777777" w:rsidR="00812D2B" w:rsidRPr="003E6F53" w:rsidRDefault="00812D2B" w:rsidP="00A44AD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8FA869B" w14:textId="47D65EDE" w:rsidR="0097352D" w:rsidRPr="003E6F53" w:rsidRDefault="00812D2B" w:rsidP="00812D2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A </w:t>
            </w:r>
            <w:r w:rsidR="00C263F7" w:rsidRPr="003E6F53">
              <w:rPr>
                <w:color w:val="auto"/>
                <w:sz w:val="16"/>
                <w:szCs w:val="16"/>
                <w:lang w:val="en-GB"/>
              </w:rPr>
              <w:t>draft bill has been presented.</w:t>
            </w:r>
          </w:p>
        </w:tc>
      </w:tr>
      <w:tr w:rsidR="0097352D" w:rsidRPr="003E6F53"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3E6F53" w:rsidRDefault="0097352D" w:rsidP="00427661">
            <w:pPr>
              <w:rPr>
                <w:lang w:val="en-GB"/>
              </w:rPr>
            </w:pPr>
            <w:r w:rsidRPr="003E6F53">
              <w:rPr>
                <w:i/>
                <w:sz w:val="16"/>
                <w:szCs w:val="16"/>
                <w:lang w:val="en-GB"/>
              </w:rPr>
              <w:t>Dividends paid</w:t>
            </w:r>
          </w:p>
        </w:tc>
      </w:tr>
      <w:tr w:rsidR="0097352D" w:rsidRPr="003E6F53"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3E6F53" w:rsidRDefault="0097352D" w:rsidP="00427661">
            <w:pPr>
              <w:pStyle w:val="ListNumber"/>
              <w:tabs>
                <w:tab w:val="clear" w:pos="284"/>
              </w:tabs>
              <w:ind w:left="340" w:hanging="340"/>
              <w:jc w:val="left"/>
              <w:rPr>
                <w:b w:val="0"/>
                <w:i/>
                <w:color w:val="auto"/>
                <w:sz w:val="16"/>
                <w:szCs w:val="16"/>
                <w:lang w:val="en-GB"/>
              </w:rPr>
            </w:pPr>
            <w:r w:rsidRPr="003E6F53">
              <w:rPr>
                <w:b w:val="0"/>
                <w:color w:val="auto"/>
                <w:sz w:val="16"/>
                <w:szCs w:val="16"/>
                <w:lang w:val="en-GB"/>
              </w:rPr>
              <w:t>Is it possible for a company in your MS to distribute dividends to a foreign company without any withholding tax?</w:t>
            </w:r>
          </w:p>
        </w:tc>
        <w:tc>
          <w:tcPr>
            <w:tcW w:w="3933" w:type="dxa"/>
          </w:tcPr>
          <w:p w14:paraId="6A6D038E" w14:textId="6D27CAA5" w:rsidR="0097352D" w:rsidRPr="003E6F53" w:rsidRDefault="00546D8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Yes</w:t>
            </w:r>
            <w:r w:rsidR="0021311E" w:rsidRPr="003E6F53">
              <w:rPr>
                <w:color w:val="auto"/>
                <w:sz w:val="16"/>
                <w:szCs w:val="16"/>
                <w:lang w:val="en-GB"/>
              </w:rPr>
              <w:t xml:space="preserve"> (Article 34 of CIT Law).</w:t>
            </w:r>
          </w:p>
        </w:tc>
      </w:tr>
      <w:tr w:rsidR="0097352D" w:rsidRPr="003E6F53"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3E6F53" w:rsidRDefault="0097352D" w:rsidP="00427661">
            <w:pPr>
              <w:pStyle w:val="ListNumber"/>
              <w:rPr>
                <w:b w:val="0"/>
                <w:color w:val="auto"/>
                <w:sz w:val="16"/>
                <w:szCs w:val="16"/>
                <w:lang w:val="en-GB"/>
              </w:rPr>
            </w:pPr>
            <w:r w:rsidRPr="003E6F53">
              <w:rPr>
                <w:b w:val="0"/>
                <w:color w:val="auto"/>
                <w:sz w:val="16"/>
                <w:szCs w:val="16"/>
                <w:lang w:val="en-GB"/>
              </w:rPr>
              <w:t xml:space="preserve">If yes to </w:t>
            </w:r>
            <w:r w:rsidR="003A6F57" w:rsidRPr="003E6F53">
              <w:rPr>
                <w:b w:val="0"/>
                <w:color w:val="auto"/>
                <w:sz w:val="16"/>
                <w:szCs w:val="16"/>
                <w:lang w:val="en-GB"/>
              </w:rPr>
              <w:t>5</w:t>
            </w:r>
            <w:r w:rsidRPr="003E6F53">
              <w:rPr>
                <w:b w:val="0"/>
                <w:color w:val="auto"/>
                <w:sz w:val="16"/>
                <w:szCs w:val="16"/>
                <w:lang w:val="en-GB"/>
              </w:rPr>
              <w:t>,</w:t>
            </w:r>
          </w:p>
        </w:tc>
        <w:tc>
          <w:tcPr>
            <w:tcW w:w="3933" w:type="dxa"/>
          </w:tcPr>
          <w:p w14:paraId="26D500E5" w14:textId="77777777" w:rsidR="0097352D" w:rsidRPr="003E6F53"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3E6F53"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3E6F53" w:rsidRDefault="0097352D" w:rsidP="00427661">
            <w:pPr>
              <w:pStyle w:val="ListParagraph"/>
              <w:numPr>
                <w:ilvl w:val="0"/>
                <w:numId w:val="24"/>
              </w:numPr>
              <w:spacing w:line="240" w:lineRule="auto"/>
              <w:jc w:val="left"/>
              <w:rPr>
                <w:b w:val="0"/>
                <w:sz w:val="16"/>
                <w:szCs w:val="16"/>
                <w:lang w:val="en-GB"/>
              </w:rPr>
            </w:pPr>
            <w:r w:rsidRPr="003E6F53">
              <w:rPr>
                <w:b w:val="0"/>
                <w:sz w:val="16"/>
                <w:szCs w:val="16"/>
                <w:lang w:val="en-GB"/>
              </w:rPr>
              <w:t>Does this apply regardless of the amount or percentage of shares</w:t>
            </w:r>
            <w:r w:rsidR="00A30052" w:rsidRPr="003E6F53">
              <w:rPr>
                <w:b w:val="0"/>
                <w:sz w:val="16"/>
                <w:szCs w:val="16"/>
                <w:lang w:val="en-GB"/>
              </w:rPr>
              <w:t>,</w:t>
            </w:r>
            <w:r w:rsidRPr="003E6F53">
              <w:rPr>
                <w:b w:val="0"/>
                <w:sz w:val="16"/>
                <w:szCs w:val="16"/>
                <w:lang w:val="en-GB"/>
              </w:rPr>
              <w:t xml:space="preserve"> which the foreign company holds?</w:t>
            </w:r>
          </w:p>
        </w:tc>
        <w:tc>
          <w:tcPr>
            <w:tcW w:w="3933" w:type="dxa"/>
          </w:tcPr>
          <w:p w14:paraId="528733BA" w14:textId="6D074FE3" w:rsidR="0097352D" w:rsidRPr="003E6F53" w:rsidRDefault="00546D8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The exemption only applies if the foreign shareholder company owns at least 10% of the voting shares in the distributing company for an uninterrupted period of at least 12 months.</w:t>
            </w:r>
          </w:p>
        </w:tc>
      </w:tr>
      <w:tr w:rsidR="0097352D" w:rsidRPr="003E6F53"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3E6F53" w:rsidRDefault="0097352D" w:rsidP="00427661">
            <w:pPr>
              <w:pStyle w:val="ListParagraph"/>
              <w:numPr>
                <w:ilvl w:val="0"/>
                <w:numId w:val="24"/>
              </w:numPr>
              <w:spacing w:line="240" w:lineRule="auto"/>
              <w:jc w:val="left"/>
              <w:rPr>
                <w:b w:val="0"/>
                <w:sz w:val="16"/>
                <w:szCs w:val="16"/>
                <w:lang w:val="en-GB"/>
              </w:rPr>
            </w:pPr>
            <w:r w:rsidRPr="003E6F53">
              <w:rPr>
                <w:b w:val="0"/>
                <w:sz w:val="16"/>
                <w:szCs w:val="16"/>
                <w:lang w:val="en-GB"/>
              </w:rPr>
              <w:t xml:space="preserve">Does this apply regardless of the tax residence of the foreign company, e.g. member state, treaty state, tax haven? </w:t>
            </w:r>
          </w:p>
        </w:tc>
        <w:tc>
          <w:tcPr>
            <w:tcW w:w="3933" w:type="dxa"/>
          </w:tcPr>
          <w:p w14:paraId="2E5CE329" w14:textId="3B71ABB4" w:rsidR="0097352D" w:rsidRPr="003E6F53" w:rsidRDefault="00546D83" w:rsidP="00546D8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The exemption only applies if the foreign shareholder company is not registered or organized in a listed tax haven (see</w:t>
            </w:r>
            <w:r w:rsidR="00452997" w:rsidRPr="003E6F53">
              <w:rPr>
                <w:color w:val="auto"/>
                <w:sz w:val="16"/>
                <w:szCs w:val="16"/>
                <w:lang w:val="en-GB"/>
              </w:rPr>
              <w:t xml:space="preserve"> Section</w:t>
            </w:r>
            <w:r w:rsidRPr="003E6F53">
              <w:rPr>
                <w:color w:val="auto"/>
                <w:sz w:val="16"/>
                <w:szCs w:val="16"/>
                <w:lang w:val="en-GB"/>
              </w:rPr>
              <w:t xml:space="preserve"> 4a above).</w:t>
            </w:r>
          </w:p>
        </w:tc>
      </w:tr>
      <w:tr w:rsidR="0097352D" w:rsidRPr="003E6F53"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3E6F53" w:rsidRDefault="0097352D" w:rsidP="00427661">
            <w:pPr>
              <w:pStyle w:val="ListParagraph"/>
              <w:numPr>
                <w:ilvl w:val="0"/>
                <w:numId w:val="24"/>
              </w:numPr>
              <w:spacing w:line="240" w:lineRule="auto"/>
              <w:jc w:val="left"/>
              <w:rPr>
                <w:b w:val="0"/>
                <w:sz w:val="16"/>
                <w:szCs w:val="16"/>
                <w:lang w:val="en-GB"/>
              </w:rPr>
            </w:pPr>
            <w:r w:rsidRPr="003E6F53">
              <w:rPr>
                <w:b w:val="0"/>
                <w:sz w:val="16"/>
                <w:szCs w:val="16"/>
                <w:lang w:val="en-GB"/>
              </w:rPr>
              <w:t>Is the withholding tax exemption subject to a beneficial ownership requirement similar to that of the OECD model tax convention?</w:t>
            </w:r>
          </w:p>
        </w:tc>
        <w:tc>
          <w:tcPr>
            <w:tcW w:w="3933" w:type="dxa"/>
          </w:tcPr>
          <w:p w14:paraId="25D7E6A5" w14:textId="5C2FB0B4" w:rsidR="0097352D" w:rsidRPr="003E6F53" w:rsidRDefault="00210E9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97352D" w:rsidRPr="003E6F53"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3E6F53" w:rsidRDefault="0097352D" w:rsidP="00427661">
            <w:pPr>
              <w:pStyle w:val="ListParagraph"/>
              <w:numPr>
                <w:ilvl w:val="0"/>
                <w:numId w:val="24"/>
              </w:numPr>
              <w:spacing w:line="240" w:lineRule="auto"/>
              <w:jc w:val="left"/>
              <w:rPr>
                <w:b w:val="0"/>
                <w:sz w:val="16"/>
                <w:szCs w:val="16"/>
                <w:lang w:val="en-GB"/>
              </w:rPr>
            </w:pPr>
            <w:r w:rsidRPr="003E6F53">
              <w:rPr>
                <w:b w:val="0"/>
                <w:sz w:val="16"/>
                <w:szCs w:val="16"/>
                <w:lang w:val="en-GB"/>
              </w:rPr>
              <w:t>Is the withholding tax exemption subject to any other anti-avoidance requirements, e.g. based on substance of the recipient? If yes, please briefly explain.</w:t>
            </w:r>
          </w:p>
        </w:tc>
        <w:tc>
          <w:tcPr>
            <w:tcW w:w="3933" w:type="dxa"/>
          </w:tcPr>
          <w:p w14:paraId="157587B8" w14:textId="2C9ADE0E" w:rsidR="0097352D" w:rsidRPr="003E6F53" w:rsidRDefault="00210E9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97352D" w:rsidRPr="003E6F53"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3E6F53" w:rsidRDefault="0097352D" w:rsidP="00427661">
            <w:pPr>
              <w:pStyle w:val="ListNumber"/>
              <w:tabs>
                <w:tab w:val="clear" w:pos="284"/>
              </w:tabs>
              <w:ind w:left="340" w:hanging="340"/>
              <w:jc w:val="left"/>
              <w:rPr>
                <w:b w:val="0"/>
                <w:color w:val="auto"/>
                <w:sz w:val="16"/>
                <w:szCs w:val="16"/>
                <w:lang w:val="en-GB"/>
              </w:rPr>
            </w:pPr>
            <w:r w:rsidRPr="003E6F53">
              <w:rPr>
                <w:b w:val="0"/>
                <w:color w:val="auto"/>
                <w:sz w:val="16"/>
                <w:szCs w:val="16"/>
                <w:lang w:val="en-GB"/>
              </w:rPr>
              <w:t>Is any other tax levied upon a distribution of a dividend by a company in your MS?</w:t>
            </w:r>
          </w:p>
        </w:tc>
        <w:tc>
          <w:tcPr>
            <w:tcW w:w="3933" w:type="dxa"/>
          </w:tcPr>
          <w:p w14:paraId="7AFE9B46" w14:textId="4C4591CE" w:rsidR="0097352D" w:rsidRPr="003E6F53" w:rsidRDefault="00210E9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97352D" w:rsidRPr="003E6F53"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3E6F53" w:rsidRDefault="0097352D" w:rsidP="00427661">
            <w:pPr>
              <w:pStyle w:val="ListNumber"/>
              <w:tabs>
                <w:tab w:val="clear" w:pos="284"/>
              </w:tabs>
              <w:ind w:left="340" w:hanging="340"/>
              <w:jc w:val="left"/>
              <w:rPr>
                <w:b w:val="0"/>
                <w:color w:val="auto"/>
                <w:sz w:val="16"/>
                <w:szCs w:val="16"/>
                <w:lang w:val="en-GB"/>
              </w:rPr>
            </w:pPr>
            <w:r w:rsidRPr="003E6F53">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3E6F53">
              <w:rPr>
                <w:b w:val="0"/>
                <w:color w:val="auto"/>
                <w:sz w:val="16"/>
                <w:szCs w:val="16"/>
                <w:lang w:val="en-GB"/>
              </w:rPr>
              <w:t xml:space="preserve"> Please refer to question 4 and 5 above.</w:t>
            </w:r>
          </w:p>
        </w:tc>
        <w:tc>
          <w:tcPr>
            <w:tcW w:w="3933" w:type="dxa"/>
          </w:tcPr>
          <w:p w14:paraId="563BC04D" w14:textId="77777777" w:rsidR="0097352D" w:rsidRPr="003E6F53" w:rsidRDefault="00073C1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p w14:paraId="04FF627A" w14:textId="5EB19D2C" w:rsidR="003069AB" w:rsidRPr="003E6F53" w:rsidRDefault="003069AB"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First, dividends’ taxation regime applies not only to dividends </w:t>
            </w:r>
            <w:r w:rsidR="00470E5C" w:rsidRPr="003E6F53">
              <w:rPr>
                <w:color w:val="auto"/>
                <w:sz w:val="16"/>
                <w:szCs w:val="16"/>
                <w:lang w:val="en-GB"/>
              </w:rPr>
              <w:t xml:space="preserve">in the narrow sense </w:t>
            </w:r>
            <w:r w:rsidRPr="003E6F53">
              <w:rPr>
                <w:color w:val="auto"/>
                <w:sz w:val="16"/>
                <w:szCs w:val="16"/>
                <w:lang w:val="en-GB"/>
              </w:rPr>
              <w:t xml:space="preserve">but also to other profit distributions made </w:t>
            </w:r>
            <w:r w:rsidR="00470E5C" w:rsidRPr="003E6F53">
              <w:rPr>
                <w:color w:val="auto"/>
                <w:sz w:val="16"/>
                <w:szCs w:val="16"/>
                <w:lang w:val="en-GB"/>
              </w:rPr>
              <w:t>on the basis of various rights of an entity to a share of a profit of another entity.</w:t>
            </w:r>
            <w:r w:rsidR="000F4F12" w:rsidRPr="003E6F53">
              <w:rPr>
                <w:color w:val="auto"/>
                <w:sz w:val="16"/>
                <w:szCs w:val="16"/>
                <w:lang w:val="en-GB"/>
              </w:rPr>
              <w:t xml:space="preserve"> Based on the CIT Law Commentary, any payments between associated entities having a form of sales price, interest etc. but in essence being profit distribution can be treated as dividends for CIT purposes (</w:t>
            </w:r>
            <w:r w:rsidR="00C35FB7" w:rsidRPr="003E6F53">
              <w:rPr>
                <w:color w:val="auto"/>
                <w:sz w:val="16"/>
                <w:szCs w:val="16"/>
                <w:lang w:val="en-GB"/>
              </w:rPr>
              <w:t>CIT Law Commentary, Article 32(1).</w:t>
            </w:r>
          </w:p>
          <w:p w14:paraId="2AEC23F9" w14:textId="3315CFB4" w:rsidR="00073C1D" w:rsidRPr="003E6F53" w:rsidRDefault="00470E5C" w:rsidP="00470E5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Second, d</w:t>
            </w:r>
            <w:r w:rsidR="00073C1D" w:rsidRPr="003E6F53">
              <w:rPr>
                <w:color w:val="auto"/>
                <w:sz w:val="16"/>
                <w:szCs w:val="16"/>
                <w:lang w:val="en-GB"/>
              </w:rPr>
              <w:t xml:space="preserve">ividends’ taxation regime applies to payments made as a result of </w:t>
            </w:r>
            <w:r w:rsidR="00B60326" w:rsidRPr="003E6F53">
              <w:rPr>
                <w:color w:val="auto"/>
                <w:sz w:val="16"/>
                <w:szCs w:val="16"/>
                <w:lang w:val="en-GB"/>
              </w:rPr>
              <w:t xml:space="preserve">reduction of share capital, but only to the extent the </w:t>
            </w:r>
            <w:r w:rsidR="00B60326" w:rsidRPr="003E6F53">
              <w:rPr>
                <w:color w:val="auto"/>
                <w:sz w:val="16"/>
                <w:szCs w:val="16"/>
                <w:lang w:val="en-GB"/>
              </w:rPr>
              <w:lastRenderedPageBreak/>
              <w:t>respective part of share capital was formed from entity’</w:t>
            </w:r>
            <w:r w:rsidR="00B7297F" w:rsidRPr="003E6F53">
              <w:rPr>
                <w:color w:val="auto"/>
                <w:sz w:val="16"/>
                <w:szCs w:val="16"/>
                <w:lang w:val="en-GB"/>
              </w:rPr>
              <w:t xml:space="preserve">s funds </w:t>
            </w:r>
            <w:r w:rsidR="00B60326" w:rsidRPr="003E6F53">
              <w:rPr>
                <w:color w:val="auto"/>
                <w:sz w:val="16"/>
                <w:szCs w:val="16"/>
                <w:lang w:val="en-GB"/>
              </w:rPr>
              <w:t>(i.e. not from shareholders contributions)</w:t>
            </w:r>
            <w:r w:rsidR="00B7297F" w:rsidRPr="003E6F53">
              <w:rPr>
                <w:color w:val="auto"/>
                <w:sz w:val="16"/>
                <w:szCs w:val="16"/>
                <w:lang w:val="en-GB"/>
              </w:rPr>
              <w:t xml:space="preserve"> (Article 32(5) of CIT Law)</w:t>
            </w:r>
            <w:r w:rsidR="00B60326" w:rsidRPr="003E6F53">
              <w:rPr>
                <w:color w:val="auto"/>
                <w:sz w:val="16"/>
                <w:szCs w:val="16"/>
                <w:lang w:val="en-GB"/>
              </w:rPr>
              <w:t>.</w:t>
            </w:r>
          </w:p>
        </w:tc>
      </w:tr>
      <w:tr w:rsidR="0097352D" w:rsidRPr="003E6F53"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4D4D38B7" w:rsidR="0097352D" w:rsidRPr="003E6F53" w:rsidRDefault="0097352D" w:rsidP="00427661">
            <w:pPr>
              <w:rPr>
                <w:lang w:val="en-GB"/>
              </w:rPr>
            </w:pPr>
            <w:r w:rsidRPr="003E6F53">
              <w:rPr>
                <w:i/>
                <w:sz w:val="16"/>
                <w:szCs w:val="16"/>
                <w:lang w:val="en-GB"/>
              </w:rPr>
              <w:lastRenderedPageBreak/>
              <w:t>Interest income</w:t>
            </w:r>
          </w:p>
        </w:tc>
      </w:tr>
      <w:tr w:rsidR="0097352D" w:rsidRPr="003E6F53"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3E6F53" w:rsidRDefault="0097352D" w:rsidP="0097352D">
            <w:pPr>
              <w:pStyle w:val="ListNumber"/>
              <w:tabs>
                <w:tab w:val="clear" w:pos="284"/>
              </w:tabs>
              <w:ind w:left="340" w:hanging="340"/>
              <w:jc w:val="left"/>
              <w:rPr>
                <w:b w:val="0"/>
                <w:color w:val="auto"/>
                <w:sz w:val="16"/>
                <w:szCs w:val="16"/>
                <w:lang w:val="en-GB"/>
              </w:rPr>
            </w:pPr>
            <w:r w:rsidRPr="003E6F53">
              <w:rPr>
                <w:b w:val="0"/>
                <w:color w:val="auto"/>
                <w:sz w:val="16"/>
                <w:szCs w:val="16"/>
                <w:lang w:val="en-GB"/>
              </w:rPr>
              <w:t>Is interest income from a loan granted by a company in your MS to a foreign group member company taxable?</w:t>
            </w:r>
          </w:p>
        </w:tc>
        <w:tc>
          <w:tcPr>
            <w:tcW w:w="3933" w:type="dxa"/>
          </w:tcPr>
          <w:p w14:paraId="67B8DD77" w14:textId="590E64CC" w:rsidR="0097352D" w:rsidRPr="003E6F53" w:rsidRDefault="00692E63"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tc>
      </w:tr>
      <w:tr w:rsidR="0097352D" w:rsidRPr="003E6F53"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3E6F53" w:rsidRDefault="0097352D" w:rsidP="0097352D">
            <w:pPr>
              <w:pStyle w:val="ListNumber"/>
              <w:tabs>
                <w:tab w:val="clear" w:pos="284"/>
              </w:tabs>
              <w:ind w:left="340" w:hanging="340"/>
              <w:jc w:val="left"/>
              <w:rPr>
                <w:b w:val="0"/>
                <w:color w:val="auto"/>
                <w:sz w:val="16"/>
                <w:szCs w:val="16"/>
                <w:lang w:val="en-GB"/>
              </w:rPr>
            </w:pPr>
            <w:r w:rsidRPr="003E6F53">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06744D03" w:rsidR="0097352D" w:rsidRPr="003E6F53" w:rsidRDefault="005C2763" w:rsidP="005B6A7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Yes, the Lithuanian company has to make transfer pricing adjustment and include deemed </w:t>
            </w:r>
            <w:r w:rsidR="005B6A7B" w:rsidRPr="003E6F53">
              <w:rPr>
                <w:color w:val="auto"/>
                <w:sz w:val="16"/>
                <w:szCs w:val="16"/>
                <w:lang w:val="en-GB"/>
              </w:rPr>
              <w:t xml:space="preserve">arm’s length </w:t>
            </w:r>
            <w:r w:rsidRPr="003E6F53">
              <w:rPr>
                <w:color w:val="auto"/>
                <w:sz w:val="16"/>
                <w:szCs w:val="16"/>
                <w:lang w:val="en-GB"/>
              </w:rPr>
              <w:t xml:space="preserve">interest </w:t>
            </w:r>
            <w:r w:rsidR="005B6A7B" w:rsidRPr="003E6F53">
              <w:rPr>
                <w:color w:val="auto"/>
                <w:sz w:val="16"/>
                <w:szCs w:val="16"/>
                <w:lang w:val="en-GB"/>
              </w:rPr>
              <w:t xml:space="preserve">into the taxable income (Article 40(2) of the CIT Law and </w:t>
            </w:r>
            <w:r w:rsidR="005F14B0" w:rsidRPr="003E6F53">
              <w:rPr>
                <w:color w:val="auto"/>
                <w:sz w:val="16"/>
                <w:szCs w:val="16"/>
                <w:lang w:val="en-GB"/>
              </w:rPr>
              <w:t>CIT Law Commentary)</w:t>
            </w:r>
            <w:r w:rsidR="005B6A7B" w:rsidRPr="003E6F53">
              <w:rPr>
                <w:color w:val="auto"/>
                <w:sz w:val="16"/>
                <w:szCs w:val="16"/>
                <w:lang w:val="en-GB"/>
              </w:rPr>
              <w:t>.</w:t>
            </w:r>
          </w:p>
        </w:tc>
      </w:tr>
      <w:tr w:rsidR="0097352D" w:rsidRPr="003E6F53"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3E6F53" w:rsidRDefault="0097352D" w:rsidP="0097352D">
            <w:pPr>
              <w:pStyle w:val="ListNumber"/>
              <w:tabs>
                <w:tab w:val="clear" w:pos="284"/>
              </w:tabs>
              <w:ind w:left="340" w:hanging="340"/>
              <w:jc w:val="left"/>
              <w:rPr>
                <w:b w:val="0"/>
                <w:color w:val="auto"/>
                <w:sz w:val="16"/>
                <w:szCs w:val="16"/>
                <w:lang w:val="en-GB"/>
              </w:rPr>
            </w:pPr>
            <w:r w:rsidRPr="003E6F53">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3E6F53">
              <w:rPr>
                <w:b w:val="0"/>
                <w:color w:val="auto"/>
                <w:sz w:val="16"/>
                <w:szCs w:val="16"/>
                <w:lang w:val="en-GB"/>
              </w:rPr>
              <w:t xml:space="preserve"> (regardless of the </w:t>
            </w:r>
            <w:r w:rsidR="00B722C7" w:rsidRPr="003E6F53">
              <w:rPr>
                <w:b w:val="0"/>
                <w:color w:val="auto"/>
                <w:sz w:val="16"/>
                <w:szCs w:val="16"/>
                <w:lang w:val="en-GB"/>
              </w:rPr>
              <w:t>non-MS assumption in the description of the Model).</w:t>
            </w:r>
          </w:p>
        </w:tc>
        <w:tc>
          <w:tcPr>
            <w:tcW w:w="3933" w:type="dxa"/>
          </w:tcPr>
          <w:p w14:paraId="731FE815" w14:textId="7C151189" w:rsidR="000474DF" w:rsidRPr="003E6F53" w:rsidRDefault="00907A02" w:rsidP="00907A0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There are no specific rules under which financial instrument (hybrid loan) could be re-qualified to equity and thus inbound intere</w:t>
            </w:r>
            <w:r w:rsidR="00496D41" w:rsidRPr="003E6F53">
              <w:rPr>
                <w:color w:val="auto"/>
                <w:sz w:val="16"/>
                <w:szCs w:val="16"/>
                <w:lang w:val="en-GB"/>
              </w:rPr>
              <w:t>st would be taxed as dividends.</w:t>
            </w:r>
          </w:p>
          <w:p w14:paraId="5E172A8F" w14:textId="77777777" w:rsidR="000474DF" w:rsidRPr="003E6F53" w:rsidRDefault="000474DF" w:rsidP="00907A0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98D1F13" w14:textId="77777777" w:rsidR="0097352D" w:rsidRPr="003E6F53" w:rsidRDefault="00907A02" w:rsidP="00DD487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However, </w:t>
            </w:r>
            <w:r w:rsidR="00496D41" w:rsidRPr="003E6F53">
              <w:rPr>
                <w:color w:val="auto"/>
                <w:sz w:val="16"/>
                <w:szCs w:val="16"/>
                <w:lang w:val="en-GB"/>
              </w:rPr>
              <w:t>certain theoretical ambiguities</w:t>
            </w:r>
            <w:r w:rsidR="000474DF" w:rsidRPr="003E6F53">
              <w:rPr>
                <w:color w:val="auto"/>
                <w:sz w:val="16"/>
                <w:szCs w:val="16"/>
                <w:lang w:val="en-GB"/>
              </w:rPr>
              <w:t xml:space="preserve"> exists due to a </w:t>
            </w:r>
            <w:r w:rsidR="00233170" w:rsidRPr="003E6F53">
              <w:rPr>
                <w:color w:val="auto"/>
                <w:sz w:val="16"/>
                <w:szCs w:val="16"/>
                <w:lang w:val="en-GB"/>
              </w:rPr>
              <w:t xml:space="preserve">rather </w:t>
            </w:r>
            <w:r w:rsidR="000474DF" w:rsidRPr="003E6F53">
              <w:rPr>
                <w:color w:val="auto"/>
                <w:sz w:val="16"/>
                <w:szCs w:val="16"/>
                <w:lang w:val="en-GB"/>
              </w:rPr>
              <w:t>broad and abstract definition of distributed profit</w:t>
            </w:r>
            <w:r w:rsidR="00233170" w:rsidRPr="003E6F53">
              <w:rPr>
                <w:color w:val="auto"/>
                <w:sz w:val="16"/>
                <w:szCs w:val="16"/>
                <w:lang w:val="en-GB"/>
              </w:rPr>
              <w:t xml:space="preserve"> (please refer to </w:t>
            </w:r>
            <w:r w:rsidR="00DD487B" w:rsidRPr="003E6F53">
              <w:rPr>
                <w:color w:val="auto"/>
                <w:sz w:val="16"/>
                <w:szCs w:val="16"/>
                <w:lang w:val="en-GB"/>
              </w:rPr>
              <w:t>Section</w:t>
            </w:r>
            <w:r w:rsidR="00233170" w:rsidRPr="003E6F53">
              <w:rPr>
                <w:color w:val="auto"/>
                <w:sz w:val="16"/>
                <w:szCs w:val="16"/>
                <w:lang w:val="en-GB"/>
              </w:rPr>
              <w:t xml:space="preserve"> 8 above)</w:t>
            </w:r>
            <w:r w:rsidR="000474DF" w:rsidRPr="003E6F53">
              <w:rPr>
                <w:color w:val="auto"/>
                <w:sz w:val="16"/>
                <w:szCs w:val="16"/>
                <w:lang w:val="en-GB"/>
              </w:rPr>
              <w:t xml:space="preserve">. </w:t>
            </w:r>
            <w:r w:rsidR="00233170" w:rsidRPr="003E6F53">
              <w:rPr>
                <w:color w:val="auto"/>
                <w:sz w:val="16"/>
                <w:szCs w:val="16"/>
                <w:lang w:val="en-GB"/>
              </w:rPr>
              <w:t>T</w:t>
            </w:r>
            <w:r w:rsidRPr="003E6F53">
              <w:rPr>
                <w:color w:val="auto"/>
                <w:sz w:val="16"/>
                <w:szCs w:val="16"/>
                <w:lang w:val="en-GB"/>
              </w:rPr>
              <w:t xml:space="preserve">heoretically </w:t>
            </w:r>
            <w:r w:rsidR="00752B31" w:rsidRPr="003E6F53">
              <w:rPr>
                <w:color w:val="auto"/>
                <w:sz w:val="16"/>
                <w:szCs w:val="16"/>
                <w:lang w:val="en-GB"/>
              </w:rPr>
              <w:t>inbound payment</w:t>
            </w:r>
            <w:r w:rsidR="00233170" w:rsidRPr="003E6F53">
              <w:rPr>
                <w:color w:val="auto"/>
                <w:sz w:val="16"/>
                <w:szCs w:val="16"/>
                <w:lang w:val="en-GB"/>
              </w:rPr>
              <w:t xml:space="preserve"> having a form of interest but in essence </w:t>
            </w:r>
            <w:r w:rsidR="00D20489" w:rsidRPr="003E6F53">
              <w:rPr>
                <w:color w:val="auto"/>
                <w:sz w:val="16"/>
                <w:szCs w:val="16"/>
                <w:lang w:val="en-GB"/>
              </w:rPr>
              <w:t xml:space="preserve">being profit distribution could be </w:t>
            </w:r>
            <w:r w:rsidR="00813275" w:rsidRPr="003E6F53">
              <w:rPr>
                <w:color w:val="auto"/>
                <w:sz w:val="16"/>
                <w:szCs w:val="16"/>
                <w:lang w:val="en-GB"/>
              </w:rPr>
              <w:t xml:space="preserve">claimed to be </w:t>
            </w:r>
            <w:r w:rsidR="00D20489" w:rsidRPr="003E6F53">
              <w:rPr>
                <w:color w:val="auto"/>
                <w:sz w:val="16"/>
                <w:szCs w:val="16"/>
                <w:lang w:val="en-GB"/>
              </w:rPr>
              <w:t>dividen</w:t>
            </w:r>
            <w:r w:rsidR="00813275" w:rsidRPr="003E6F53">
              <w:rPr>
                <w:color w:val="auto"/>
                <w:sz w:val="16"/>
                <w:szCs w:val="16"/>
                <w:lang w:val="en-GB"/>
              </w:rPr>
              <w:t>d</w:t>
            </w:r>
            <w:r w:rsidR="00D20489" w:rsidRPr="003E6F53">
              <w:rPr>
                <w:color w:val="auto"/>
                <w:sz w:val="16"/>
                <w:szCs w:val="16"/>
                <w:lang w:val="en-GB"/>
              </w:rPr>
              <w:t>s</w:t>
            </w:r>
            <w:r w:rsidR="00752B31" w:rsidRPr="003E6F53">
              <w:rPr>
                <w:color w:val="auto"/>
                <w:sz w:val="16"/>
                <w:szCs w:val="16"/>
                <w:lang w:val="en-GB"/>
              </w:rPr>
              <w:t xml:space="preserve"> </w:t>
            </w:r>
            <w:r w:rsidR="00813275" w:rsidRPr="003E6F53">
              <w:rPr>
                <w:color w:val="auto"/>
                <w:sz w:val="16"/>
                <w:szCs w:val="16"/>
                <w:lang w:val="en-GB"/>
              </w:rPr>
              <w:t>subject to standard dividends exemptions.</w:t>
            </w:r>
          </w:p>
          <w:p w14:paraId="55EDEE19" w14:textId="77777777" w:rsidR="00126E2B" w:rsidRPr="003E6F53" w:rsidRDefault="00126E2B" w:rsidP="00DD487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F51E47" w14:textId="50823EA8" w:rsidR="00126E2B" w:rsidRPr="003E6F53" w:rsidRDefault="00126E2B" w:rsidP="00126E2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Mismatches can occur as qualification of the instrument in use would be done on the basis of Lithuanian laws. Therefore, if an interest bearing financial instrument (hybrid loan) is granted by a company resident in Lithuania and under national laws it is treated as a financing arrangement, the return would be treated as interest and not as dividends. If from the perspective of Lithuanian law the instrument is treated as investment into equity, the return would be treated as dividends, irrespective of them being treated as interest in the source country. Under the law as it stands today, only the content over form principle could be used to disallow dividend exemption on payments that were deducted in the source country. We see there being some hints of such application of the content-over-form principle in the CIT Law Commentary; however, we have not seen such re-qualification often happen in practice.</w:t>
            </w:r>
          </w:p>
        </w:tc>
      </w:tr>
      <w:tr w:rsidR="0097352D" w:rsidRPr="003E6F53"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3E6F53" w:rsidRDefault="0097352D" w:rsidP="003A6F57">
            <w:pPr>
              <w:pStyle w:val="ListNumber"/>
              <w:tabs>
                <w:tab w:val="clear" w:pos="284"/>
              </w:tabs>
              <w:ind w:left="340" w:hanging="340"/>
              <w:jc w:val="left"/>
              <w:rPr>
                <w:b w:val="0"/>
                <w:color w:val="auto"/>
                <w:sz w:val="16"/>
                <w:szCs w:val="16"/>
                <w:lang w:val="en-GB"/>
              </w:rPr>
            </w:pPr>
            <w:r w:rsidRPr="003E6F53">
              <w:rPr>
                <w:b w:val="0"/>
                <w:color w:val="auto"/>
                <w:sz w:val="16"/>
                <w:szCs w:val="16"/>
                <w:lang w:val="en-GB"/>
              </w:rPr>
              <w:t>If yes to 1</w:t>
            </w:r>
            <w:r w:rsidR="003A6F57" w:rsidRPr="003E6F53">
              <w:rPr>
                <w:b w:val="0"/>
                <w:color w:val="auto"/>
                <w:sz w:val="16"/>
                <w:szCs w:val="16"/>
                <w:lang w:val="en-GB"/>
              </w:rPr>
              <w:t>1</w:t>
            </w:r>
            <w:r w:rsidRPr="003E6F53">
              <w:rPr>
                <w:b w:val="0"/>
                <w:color w:val="auto"/>
                <w:sz w:val="16"/>
                <w:szCs w:val="16"/>
                <w:lang w:val="en-GB"/>
              </w:rPr>
              <w:t>,</w:t>
            </w:r>
          </w:p>
        </w:tc>
        <w:tc>
          <w:tcPr>
            <w:tcW w:w="3933" w:type="dxa"/>
          </w:tcPr>
          <w:p w14:paraId="7A20A922" w14:textId="77777777" w:rsidR="0097352D" w:rsidRPr="003E6F53"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3E6F53"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3E6F53" w:rsidRDefault="0097352D" w:rsidP="000243B6">
            <w:pPr>
              <w:pStyle w:val="ListNumber"/>
              <w:numPr>
                <w:ilvl w:val="0"/>
                <w:numId w:val="23"/>
              </w:numPr>
              <w:ind w:left="680"/>
              <w:jc w:val="left"/>
              <w:rPr>
                <w:b w:val="0"/>
                <w:color w:val="auto"/>
                <w:sz w:val="16"/>
                <w:szCs w:val="16"/>
                <w:lang w:val="en-GB"/>
              </w:rPr>
            </w:pPr>
            <w:r w:rsidRPr="003E6F53">
              <w:rPr>
                <w:b w:val="0"/>
                <w:color w:val="auto"/>
                <w:sz w:val="16"/>
                <w:szCs w:val="16"/>
                <w:lang w:val="en-GB"/>
              </w:rPr>
              <w:t>Please briefly explain which requirements should be fulfilled.</w:t>
            </w:r>
          </w:p>
        </w:tc>
        <w:tc>
          <w:tcPr>
            <w:tcW w:w="3933" w:type="dxa"/>
          </w:tcPr>
          <w:p w14:paraId="1589E2E5" w14:textId="27A83DF2" w:rsidR="0097352D" w:rsidRPr="003E6F53" w:rsidRDefault="00496D41"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N/A</w:t>
            </w:r>
          </w:p>
        </w:tc>
      </w:tr>
      <w:tr w:rsidR="0097352D" w:rsidRPr="003E6F53"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3E6F53" w:rsidRDefault="0097352D" w:rsidP="000243B6">
            <w:pPr>
              <w:pStyle w:val="ListNumber"/>
              <w:numPr>
                <w:ilvl w:val="0"/>
                <w:numId w:val="23"/>
              </w:numPr>
              <w:ind w:left="680"/>
              <w:jc w:val="left"/>
              <w:rPr>
                <w:b w:val="0"/>
                <w:color w:val="auto"/>
                <w:sz w:val="16"/>
                <w:szCs w:val="16"/>
                <w:lang w:val="en-GB"/>
              </w:rPr>
            </w:pPr>
            <w:r w:rsidRPr="003E6F53">
              <w:rPr>
                <w:b w:val="0"/>
                <w:color w:val="auto"/>
                <w:sz w:val="16"/>
                <w:szCs w:val="16"/>
                <w:lang w:val="en-GB"/>
              </w:rPr>
              <w:t xml:space="preserve">How will the amendment of Article 4 of the EU Parent/Subsidiary Directive affect your answer? </w:t>
            </w:r>
          </w:p>
        </w:tc>
        <w:tc>
          <w:tcPr>
            <w:tcW w:w="3933" w:type="dxa"/>
          </w:tcPr>
          <w:p w14:paraId="73D40562" w14:textId="217EFE8C" w:rsidR="0097352D" w:rsidRPr="003E6F53" w:rsidRDefault="0032029F" w:rsidP="00DD487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We expect the upcoming changes to have an effect that </w:t>
            </w:r>
            <w:r w:rsidR="00A94E8C" w:rsidRPr="003E6F53">
              <w:rPr>
                <w:color w:val="auto"/>
                <w:sz w:val="16"/>
                <w:szCs w:val="16"/>
                <w:lang w:val="en-GB"/>
              </w:rPr>
              <w:t>even theoretical possibilities described in Section 11 would be impossible.</w:t>
            </w:r>
          </w:p>
        </w:tc>
      </w:tr>
      <w:tr w:rsidR="009E71C6" w:rsidRPr="003E6F53"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3E6F53" w:rsidRDefault="009E71C6" w:rsidP="00427661">
            <w:pPr>
              <w:rPr>
                <w:lang w:val="en-GB"/>
              </w:rPr>
            </w:pPr>
            <w:r w:rsidRPr="003E6F53">
              <w:rPr>
                <w:i/>
                <w:sz w:val="16"/>
                <w:szCs w:val="16"/>
                <w:lang w:val="en-GB"/>
              </w:rPr>
              <w:t>Interest costs</w:t>
            </w:r>
          </w:p>
        </w:tc>
      </w:tr>
      <w:tr w:rsidR="009E71C6" w:rsidRPr="003E6F53"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3E6F53" w:rsidRDefault="009E71C6" w:rsidP="00C62116">
            <w:pPr>
              <w:pStyle w:val="ListNumber"/>
              <w:tabs>
                <w:tab w:val="clear" w:pos="284"/>
              </w:tabs>
              <w:ind w:left="340" w:hanging="340"/>
              <w:jc w:val="left"/>
              <w:rPr>
                <w:b w:val="0"/>
                <w:color w:val="auto"/>
                <w:sz w:val="16"/>
                <w:szCs w:val="16"/>
                <w:lang w:val="en-GB"/>
              </w:rPr>
            </w:pPr>
            <w:r w:rsidRPr="003E6F53">
              <w:rPr>
                <w:b w:val="0"/>
                <w:color w:val="auto"/>
                <w:sz w:val="16"/>
                <w:szCs w:val="16"/>
                <w:lang w:val="en-GB"/>
              </w:rPr>
              <w:t xml:space="preserve">Are inter-group interest payments on </w:t>
            </w:r>
            <w:r w:rsidR="00C62116" w:rsidRPr="003E6F53">
              <w:rPr>
                <w:b w:val="0"/>
                <w:color w:val="auto"/>
                <w:sz w:val="16"/>
                <w:szCs w:val="16"/>
                <w:lang w:val="en-GB"/>
              </w:rPr>
              <w:t>a</w:t>
            </w:r>
            <w:r w:rsidRPr="003E6F53">
              <w:rPr>
                <w:b w:val="0"/>
                <w:color w:val="auto"/>
                <w:sz w:val="16"/>
                <w:szCs w:val="16"/>
                <w:lang w:val="en-GB"/>
              </w:rPr>
              <w:t xml:space="preserve"> loan granted by a foreign group member company tax deductible to a resident in your MS?</w:t>
            </w:r>
          </w:p>
        </w:tc>
        <w:tc>
          <w:tcPr>
            <w:tcW w:w="3933" w:type="dxa"/>
          </w:tcPr>
          <w:p w14:paraId="7D82B56E" w14:textId="1710AE55" w:rsidR="00546D83" w:rsidRPr="003E6F53" w:rsidRDefault="00546D8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eastAsia="en-US"/>
              </w:rPr>
            </w:pPr>
            <w:r w:rsidRPr="003E6F53">
              <w:rPr>
                <w:color w:val="auto"/>
                <w:sz w:val="16"/>
                <w:szCs w:val="16"/>
                <w:lang w:val="en-GB"/>
              </w:rPr>
              <w:t>Yes. Interest paid on loans related to the business is generally deductible.</w:t>
            </w:r>
          </w:p>
          <w:p w14:paraId="31330A20" w14:textId="77777777" w:rsidR="009E71C6" w:rsidRPr="003E6F53"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E6F53"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3E6F53" w:rsidRDefault="009E71C6" w:rsidP="003A6F57">
            <w:pPr>
              <w:pStyle w:val="ListNumber"/>
              <w:tabs>
                <w:tab w:val="clear" w:pos="284"/>
              </w:tabs>
              <w:ind w:left="340" w:hanging="340"/>
              <w:jc w:val="left"/>
              <w:rPr>
                <w:b w:val="0"/>
                <w:color w:val="auto"/>
                <w:sz w:val="16"/>
                <w:szCs w:val="16"/>
                <w:lang w:val="en-GB"/>
              </w:rPr>
            </w:pPr>
            <w:r w:rsidRPr="003E6F53">
              <w:rPr>
                <w:b w:val="0"/>
                <w:color w:val="auto"/>
                <w:sz w:val="16"/>
                <w:szCs w:val="16"/>
                <w:lang w:val="en-GB"/>
              </w:rPr>
              <w:t>If yes to 1</w:t>
            </w:r>
            <w:r w:rsidR="003A6F57" w:rsidRPr="003E6F53">
              <w:rPr>
                <w:b w:val="0"/>
                <w:color w:val="auto"/>
                <w:sz w:val="16"/>
                <w:szCs w:val="16"/>
                <w:lang w:val="en-GB"/>
              </w:rPr>
              <w:t>3</w:t>
            </w:r>
            <w:r w:rsidRPr="003E6F53">
              <w:rPr>
                <w:b w:val="0"/>
                <w:color w:val="auto"/>
                <w:sz w:val="16"/>
                <w:szCs w:val="16"/>
                <w:lang w:val="en-GB"/>
              </w:rPr>
              <w:t>,</w:t>
            </w:r>
          </w:p>
        </w:tc>
        <w:tc>
          <w:tcPr>
            <w:tcW w:w="3933" w:type="dxa"/>
          </w:tcPr>
          <w:p w14:paraId="2BD57FAE" w14:textId="77777777" w:rsidR="009E71C6" w:rsidRPr="003E6F5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E6F53"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3E6F53" w:rsidRDefault="009E71C6" w:rsidP="000243B6">
            <w:pPr>
              <w:pStyle w:val="ListNumber"/>
              <w:numPr>
                <w:ilvl w:val="0"/>
                <w:numId w:val="25"/>
              </w:numPr>
              <w:ind w:left="709"/>
              <w:jc w:val="left"/>
              <w:rPr>
                <w:b w:val="0"/>
                <w:color w:val="auto"/>
                <w:sz w:val="16"/>
                <w:szCs w:val="16"/>
                <w:lang w:val="en-GB"/>
              </w:rPr>
            </w:pPr>
            <w:r w:rsidRPr="003E6F53">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24B9A776" w:rsidR="009E71C6" w:rsidRPr="003E6F53" w:rsidRDefault="00CD2A6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9E71C6" w:rsidRPr="003E6F53"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3E6F53" w:rsidRDefault="009E71C6" w:rsidP="000243B6">
            <w:pPr>
              <w:pStyle w:val="ListNumber"/>
              <w:numPr>
                <w:ilvl w:val="0"/>
                <w:numId w:val="25"/>
              </w:numPr>
              <w:ind w:left="709"/>
              <w:jc w:val="left"/>
              <w:rPr>
                <w:b w:val="0"/>
                <w:color w:val="auto"/>
                <w:sz w:val="16"/>
                <w:szCs w:val="16"/>
                <w:lang w:val="en-GB"/>
              </w:rPr>
            </w:pPr>
            <w:r w:rsidRPr="003E6F53">
              <w:rPr>
                <w:b w:val="0"/>
                <w:color w:val="auto"/>
                <w:sz w:val="16"/>
                <w:szCs w:val="16"/>
                <w:lang w:val="en-GB"/>
              </w:rPr>
              <w:t xml:space="preserve">In particular, would your MS still allow a tax deduction if the creditor state treats the corresponding interest income as a non-taxable dividend or similar, i.e. if the loan is a hybrid loan? When responding, please consider Model ATP-Structure no. 2 and assume that C Holdco is tax </w:t>
            </w:r>
            <w:r w:rsidRPr="003E6F53">
              <w:rPr>
                <w:b w:val="0"/>
                <w:color w:val="auto"/>
                <w:sz w:val="16"/>
                <w:szCs w:val="16"/>
                <w:lang w:val="en-GB"/>
              </w:rPr>
              <w:lastRenderedPageBreak/>
              <w:t>resident in your MS.</w:t>
            </w:r>
          </w:p>
        </w:tc>
        <w:tc>
          <w:tcPr>
            <w:tcW w:w="3933" w:type="dxa"/>
          </w:tcPr>
          <w:p w14:paraId="1FD1DDC9" w14:textId="4440EFDF" w:rsidR="009E71C6" w:rsidRPr="003E6F53" w:rsidRDefault="00116ED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lastRenderedPageBreak/>
              <w:t xml:space="preserve">Generally yes, save for situations subject to the </w:t>
            </w:r>
            <w:r w:rsidR="00D51A53" w:rsidRPr="003E6F53">
              <w:rPr>
                <w:color w:val="auto"/>
                <w:sz w:val="16"/>
                <w:szCs w:val="16"/>
                <w:lang w:val="en-GB"/>
              </w:rPr>
              <w:t>rules referred to in Section 15.</w:t>
            </w:r>
          </w:p>
          <w:p w14:paraId="233DC34B" w14:textId="49C353E4" w:rsidR="00B5189E" w:rsidRPr="003E6F53" w:rsidRDefault="00B5189E" w:rsidP="006A210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E6F53"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51362011" w:rsidR="009E71C6" w:rsidRPr="003E6F53" w:rsidRDefault="009E71C6" w:rsidP="009E71C6">
            <w:pPr>
              <w:pStyle w:val="ListNumber"/>
              <w:tabs>
                <w:tab w:val="clear" w:pos="284"/>
              </w:tabs>
              <w:ind w:left="340" w:hanging="340"/>
              <w:jc w:val="left"/>
              <w:rPr>
                <w:b w:val="0"/>
                <w:color w:val="auto"/>
                <w:sz w:val="16"/>
                <w:szCs w:val="16"/>
                <w:lang w:val="en-GB"/>
              </w:rPr>
            </w:pPr>
            <w:r w:rsidRPr="003E6F53">
              <w:rPr>
                <w:b w:val="0"/>
                <w:color w:val="auto"/>
                <w:sz w:val="16"/>
                <w:szCs w:val="16"/>
                <w:lang w:val="en-GB"/>
              </w:rPr>
              <w:lastRenderedPageBreak/>
              <w:t>Is the tax deduction of interest cost on inter-group debt subject to any thin capitalisation-rules or other interest deduction limitations-rules?</w:t>
            </w:r>
          </w:p>
        </w:tc>
        <w:tc>
          <w:tcPr>
            <w:tcW w:w="3933" w:type="dxa"/>
          </w:tcPr>
          <w:p w14:paraId="4D885622" w14:textId="77777777" w:rsidR="00116EDC" w:rsidRPr="003E6F53" w:rsidRDefault="00116EDC" w:rsidP="00116ED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Yes:</w:t>
            </w:r>
          </w:p>
          <w:p w14:paraId="066B78E9" w14:textId="77777777" w:rsidR="00116EDC" w:rsidRPr="003E6F53" w:rsidRDefault="00546D83" w:rsidP="00116EDC">
            <w:pPr>
              <w:numPr>
                <w:ilvl w:val="0"/>
                <w:numId w:val="33"/>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thin</w:t>
            </w:r>
            <w:r w:rsidR="00116EDC" w:rsidRPr="003E6F53">
              <w:rPr>
                <w:color w:val="auto"/>
                <w:sz w:val="16"/>
                <w:szCs w:val="16"/>
                <w:lang w:val="en-GB"/>
              </w:rPr>
              <w:t xml:space="preserve"> capitalization limitation rule;</w:t>
            </w:r>
          </w:p>
          <w:p w14:paraId="192ECB4F" w14:textId="77777777" w:rsidR="009E71C6" w:rsidRPr="003E6F53" w:rsidRDefault="00546D83" w:rsidP="00116EDC">
            <w:pPr>
              <w:numPr>
                <w:ilvl w:val="0"/>
                <w:numId w:val="33"/>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shareholder limitation rule</w:t>
            </w:r>
            <w:r w:rsidR="00116EDC" w:rsidRPr="003E6F53">
              <w:rPr>
                <w:color w:val="auto"/>
                <w:sz w:val="16"/>
                <w:szCs w:val="16"/>
                <w:lang w:val="en-GB"/>
              </w:rPr>
              <w:t>;</w:t>
            </w:r>
          </w:p>
          <w:p w14:paraId="328E838E" w14:textId="595E86F1" w:rsidR="00116EDC" w:rsidRPr="003E6F53" w:rsidRDefault="00D51A53" w:rsidP="00116EDC">
            <w:pPr>
              <w:numPr>
                <w:ilvl w:val="0"/>
                <w:numId w:val="33"/>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profit participating </w:t>
            </w:r>
            <w:r w:rsidR="008D450E" w:rsidRPr="003E6F53">
              <w:rPr>
                <w:color w:val="auto"/>
                <w:sz w:val="16"/>
                <w:szCs w:val="16"/>
                <w:lang w:val="en-GB"/>
              </w:rPr>
              <w:t>loan</w:t>
            </w:r>
            <w:r w:rsidRPr="003E6F53">
              <w:rPr>
                <w:color w:val="auto"/>
                <w:sz w:val="16"/>
                <w:szCs w:val="16"/>
                <w:lang w:val="en-GB"/>
              </w:rPr>
              <w:t xml:space="preserve"> relating limitation rule.</w:t>
            </w:r>
          </w:p>
        </w:tc>
      </w:tr>
      <w:tr w:rsidR="009E71C6" w:rsidRPr="003E6F53"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333A6041" w:rsidR="009E71C6" w:rsidRPr="003E6F53" w:rsidRDefault="009E71C6" w:rsidP="003A6F57">
            <w:pPr>
              <w:pStyle w:val="ListNumber"/>
              <w:tabs>
                <w:tab w:val="clear" w:pos="284"/>
              </w:tabs>
              <w:ind w:left="340" w:hanging="340"/>
              <w:jc w:val="left"/>
              <w:rPr>
                <w:b w:val="0"/>
                <w:color w:val="auto"/>
                <w:sz w:val="16"/>
                <w:szCs w:val="16"/>
                <w:lang w:val="en-GB"/>
              </w:rPr>
            </w:pPr>
            <w:r w:rsidRPr="003E6F53">
              <w:rPr>
                <w:b w:val="0"/>
                <w:color w:val="auto"/>
                <w:sz w:val="16"/>
                <w:szCs w:val="16"/>
                <w:lang w:val="en-GB"/>
              </w:rPr>
              <w:t>If yes to 1</w:t>
            </w:r>
            <w:r w:rsidR="003A6F57" w:rsidRPr="003E6F53">
              <w:rPr>
                <w:b w:val="0"/>
                <w:color w:val="auto"/>
                <w:sz w:val="16"/>
                <w:szCs w:val="16"/>
                <w:lang w:val="en-GB"/>
              </w:rPr>
              <w:t>5</w:t>
            </w:r>
          </w:p>
        </w:tc>
        <w:tc>
          <w:tcPr>
            <w:tcW w:w="3933" w:type="dxa"/>
          </w:tcPr>
          <w:p w14:paraId="1273C585" w14:textId="77777777" w:rsidR="009E71C6" w:rsidRPr="003E6F5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E6F53"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3E6F53" w:rsidRDefault="009E71C6" w:rsidP="000243B6">
            <w:pPr>
              <w:pStyle w:val="ListNumber"/>
              <w:numPr>
                <w:ilvl w:val="0"/>
                <w:numId w:val="26"/>
              </w:numPr>
              <w:ind w:left="709"/>
              <w:jc w:val="left"/>
              <w:rPr>
                <w:b w:val="0"/>
                <w:color w:val="auto"/>
                <w:sz w:val="16"/>
                <w:szCs w:val="16"/>
                <w:lang w:val="en-GB"/>
              </w:rPr>
            </w:pPr>
            <w:r w:rsidRPr="003E6F53">
              <w:rPr>
                <w:b w:val="0"/>
                <w:color w:val="auto"/>
                <w:sz w:val="16"/>
                <w:szCs w:val="16"/>
                <w:lang w:val="en-GB"/>
              </w:rPr>
              <w:t>Please briefly explain the general scope and mechanism of the rules.</w:t>
            </w:r>
          </w:p>
        </w:tc>
        <w:tc>
          <w:tcPr>
            <w:tcW w:w="3933" w:type="dxa"/>
          </w:tcPr>
          <w:p w14:paraId="010315F8" w14:textId="77777777" w:rsidR="00D51A53" w:rsidRPr="003E6F53" w:rsidRDefault="00D51A53" w:rsidP="00546D83">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3E6F53">
              <w:rPr>
                <w:color w:val="auto"/>
                <w:sz w:val="16"/>
                <w:szCs w:val="16"/>
                <w:u w:val="single"/>
                <w:lang w:val="en-GB"/>
              </w:rPr>
              <w:t>Thin capitalisation rule:</w:t>
            </w:r>
          </w:p>
          <w:p w14:paraId="6B20BDDF" w14:textId="2D7A5588" w:rsidR="00546D83" w:rsidRPr="003E6F53" w:rsidRDefault="00546D8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Interest on debt in excess of a debt/equity ratio of 4:1 is non-deductible for corporate income tax purposes. This applies in respect of the debt capital provided by a creditor who:</w:t>
            </w:r>
          </w:p>
          <w:p w14:paraId="2F8D7E73" w14:textId="598FD49C" w:rsidR="00546D83" w:rsidRPr="003E6F53" w:rsidRDefault="00546D83" w:rsidP="00546D83">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Directly or indirectly holds more than 50% of the shares or rights (options) in respect of dividends; or</w:t>
            </w:r>
          </w:p>
          <w:p w14:paraId="4BE76F8F" w14:textId="0545BA0B" w:rsidR="00546D83" w:rsidRPr="003E6F53" w:rsidRDefault="00546D83" w:rsidP="00546D83">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Together with related parties, holds more than 50% of the shares or rights (options) in respect of dividends and the creditor’s holding being not less than 10%</w:t>
            </w:r>
          </w:p>
          <w:p w14:paraId="4F149C68" w14:textId="4C93BB19" w:rsidR="00546D83" w:rsidRPr="003E6F53" w:rsidRDefault="00775920" w:rsidP="00546D83">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A group company also qualifies.</w:t>
            </w:r>
          </w:p>
          <w:p w14:paraId="4C0C5183" w14:textId="661D29D6" w:rsidR="00EB3AEB" w:rsidRPr="003E6F53" w:rsidRDefault="00EB3AEB" w:rsidP="00546D83">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The thin capitalization rule also applies to a third party loans guaranteed by the controlling creditor, as well as to loans guaranteed by third parties, to whom the controlling creditor has at the same time issued a guarantee</w:t>
            </w:r>
          </w:p>
          <w:p w14:paraId="64C12B21" w14:textId="77777777" w:rsidR="00546D83" w:rsidRPr="003E6F53" w:rsidRDefault="00546D8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1A079A9" w14:textId="77777777" w:rsidR="00546D83" w:rsidRPr="003E6F53" w:rsidRDefault="00546D8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The thin capitalization rule does not apply if the taxpayer can prove that the same loan could exist between unrelated parties.</w:t>
            </w:r>
          </w:p>
          <w:p w14:paraId="64683F14" w14:textId="77777777" w:rsidR="00546D83" w:rsidRPr="003E6F53" w:rsidRDefault="00546D8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B1E2715" w14:textId="5ECE2E23" w:rsidR="00D51A53" w:rsidRPr="003E6F53" w:rsidRDefault="00D51A53" w:rsidP="00546D83">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3E6F53">
              <w:rPr>
                <w:color w:val="auto"/>
                <w:sz w:val="16"/>
                <w:szCs w:val="16"/>
                <w:u w:val="single"/>
                <w:lang w:val="en-GB"/>
              </w:rPr>
              <w:t>Shareholder limitation rule:</w:t>
            </w:r>
          </w:p>
          <w:p w14:paraId="26CCE8EE" w14:textId="088E5D0B" w:rsidR="009E71C6" w:rsidRPr="003E6F53" w:rsidRDefault="00775920"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U</w:t>
            </w:r>
            <w:r w:rsidR="00546D83" w:rsidRPr="003E6F53">
              <w:rPr>
                <w:color w:val="auto"/>
                <w:sz w:val="16"/>
                <w:szCs w:val="16"/>
                <w:lang w:val="en-GB"/>
              </w:rPr>
              <w:t>nder the Lithuanian Company Law, the interest rate on shareholders’ loans cannot exceed the average bank interest rate valid in the location of the lender’s business</w:t>
            </w:r>
            <w:r w:rsidR="00D51A53" w:rsidRPr="003E6F53">
              <w:rPr>
                <w:color w:val="auto"/>
                <w:sz w:val="16"/>
                <w:szCs w:val="16"/>
                <w:lang w:val="en-GB"/>
              </w:rPr>
              <w:t>.</w:t>
            </w:r>
          </w:p>
          <w:p w14:paraId="431BDBD5" w14:textId="77777777" w:rsidR="00D51A53" w:rsidRPr="003E6F53" w:rsidRDefault="00D51A53" w:rsidP="00546D8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8FF1B1E" w14:textId="77777777" w:rsidR="00DE09C0" w:rsidRPr="003E6F53" w:rsidRDefault="00DE77D1" w:rsidP="00546D83">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3E6F53">
              <w:rPr>
                <w:color w:val="auto"/>
                <w:sz w:val="16"/>
                <w:szCs w:val="16"/>
                <w:u w:val="single"/>
                <w:lang w:val="en-GB"/>
              </w:rPr>
              <w:t>Profit participating loan relating limitation:</w:t>
            </w:r>
          </w:p>
          <w:p w14:paraId="3631B299" w14:textId="735AE56E" w:rsidR="00DE77D1" w:rsidRPr="003E6F53" w:rsidRDefault="000C73A0" w:rsidP="000C73A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A special provision of the Rules on Requalification forbid deduction of (i) interest payments where the amount of the interest to be paid to a controlling entity depends on profit, revenue or similar criterion relating to the results of the activities of the debtor, and (ii) interest under financing instrument entitling the creditor to opt exchange of rights to interest for a right to debtor’s profit</w:t>
            </w:r>
            <w:r w:rsidR="008D450E" w:rsidRPr="003E6F53">
              <w:rPr>
                <w:color w:val="auto"/>
                <w:sz w:val="16"/>
                <w:szCs w:val="16"/>
                <w:lang w:val="en-GB"/>
              </w:rPr>
              <w:t xml:space="preserve"> share</w:t>
            </w:r>
            <w:r w:rsidRPr="003E6F53">
              <w:rPr>
                <w:color w:val="auto"/>
                <w:sz w:val="16"/>
                <w:szCs w:val="16"/>
                <w:lang w:val="en-GB"/>
              </w:rPr>
              <w:t>.</w:t>
            </w:r>
          </w:p>
        </w:tc>
      </w:tr>
      <w:tr w:rsidR="00546D83" w:rsidRPr="003E6F53"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1DC03D05" w:rsidR="00546D83" w:rsidRPr="003E6F53" w:rsidRDefault="00546D83" w:rsidP="000243B6">
            <w:pPr>
              <w:pStyle w:val="ListNumber"/>
              <w:numPr>
                <w:ilvl w:val="0"/>
                <w:numId w:val="26"/>
              </w:numPr>
              <w:ind w:left="709"/>
              <w:jc w:val="left"/>
              <w:rPr>
                <w:b w:val="0"/>
                <w:color w:val="auto"/>
                <w:sz w:val="16"/>
                <w:szCs w:val="16"/>
                <w:lang w:val="en-GB"/>
              </w:rPr>
            </w:pPr>
            <w:r w:rsidRPr="003E6F53">
              <w:rPr>
                <w:b w:val="0"/>
                <w:color w:val="auto"/>
                <w:sz w:val="16"/>
                <w:szCs w:val="16"/>
                <w:lang w:val="en-GB"/>
              </w:rPr>
              <w:t xml:space="preserve">In particular, do the rules apply only to interest costs on inter-group debt or more generally to all interest costs?  </w:t>
            </w:r>
          </w:p>
        </w:tc>
        <w:tc>
          <w:tcPr>
            <w:tcW w:w="3933" w:type="dxa"/>
          </w:tcPr>
          <w:p w14:paraId="0CE273C8" w14:textId="2B497483"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Only to interest costs on inter-group debt.</w:t>
            </w:r>
          </w:p>
        </w:tc>
      </w:tr>
      <w:tr w:rsidR="00546D83" w:rsidRPr="003E6F53"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546D83" w:rsidRPr="003E6F53" w:rsidRDefault="00546D83" w:rsidP="00387B75">
            <w:pPr>
              <w:pStyle w:val="ListNumber"/>
              <w:numPr>
                <w:ilvl w:val="0"/>
                <w:numId w:val="26"/>
              </w:numPr>
              <w:ind w:left="709"/>
              <w:jc w:val="left"/>
              <w:rPr>
                <w:b w:val="0"/>
                <w:color w:val="auto"/>
                <w:sz w:val="16"/>
                <w:szCs w:val="16"/>
                <w:lang w:val="en-GB"/>
              </w:rPr>
            </w:pPr>
            <w:r w:rsidRPr="003E6F53">
              <w:rPr>
                <w:b w:val="0"/>
                <w:color w:val="auto"/>
                <w:sz w:val="16"/>
                <w:szCs w:val="16"/>
                <w:lang w:val="en-GB"/>
              </w:rPr>
              <w:t>Do the rules take into account the worldwide debt ratio of the group of companies?</w:t>
            </w:r>
          </w:p>
        </w:tc>
        <w:tc>
          <w:tcPr>
            <w:tcW w:w="3933" w:type="dxa"/>
          </w:tcPr>
          <w:p w14:paraId="7EDA4911" w14:textId="2CAF2377" w:rsidR="00546D83" w:rsidRPr="003E6F53" w:rsidRDefault="0029668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546D83" w:rsidRPr="003E6F53" w:rsidRDefault="00546D83" w:rsidP="000243B6">
            <w:pPr>
              <w:pStyle w:val="ListNumber"/>
              <w:numPr>
                <w:ilvl w:val="0"/>
                <w:numId w:val="26"/>
              </w:numPr>
              <w:ind w:left="709"/>
              <w:jc w:val="left"/>
              <w:rPr>
                <w:b w:val="0"/>
                <w:color w:val="auto"/>
                <w:sz w:val="16"/>
                <w:szCs w:val="16"/>
                <w:lang w:val="en-GB"/>
              </w:rPr>
            </w:pPr>
            <w:r w:rsidRPr="003E6F53">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06B7E07E" w14:textId="66639620" w:rsidR="00546D83" w:rsidRPr="003E6F53" w:rsidRDefault="00D00E12" w:rsidP="0025652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Since the rules limit the </w:t>
            </w:r>
            <w:r w:rsidR="007D385B" w:rsidRPr="003E6F53">
              <w:rPr>
                <w:color w:val="auto"/>
                <w:sz w:val="16"/>
                <w:szCs w:val="16"/>
                <w:lang w:val="en-GB"/>
              </w:rPr>
              <w:t xml:space="preserve">amount of deductible interest and, in addition, limit deduction of interest where there is a risk that interest payment is a hidden profit distribution to a controlling entity, the rules </w:t>
            </w:r>
            <w:r w:rsidR="00256528" w:rsidRPr="003E6F53">
              <w:rPr>
                <w:color w:val="auto"/>
                <w:sz w:val="16"/>
                <w:szCs w:val="16"/>
                <w:lang w:val="en-GB"/>
              </w:rPr>
              <w:t>can</w:t>
            </w:r>
            <w:r w:rsidR="007D385B" w:rsidRPr="003E6F53">
              <w:rPr>
                <w:color w:val="auto"/>
                <w:sz w:val="16"/>
                <w:szCs w:val="16"/>
                <w:lang w:val="en-GB"/>
              </w:rPr>
              <w:t xml:space="preserve"> be considered as effective </w:t>
            </w:r>
            <w:r w:rsidR="00A0400A" w:rsidRPr="003E6F53">
              <w:rPr>
                <w:color w:val="auto"/>
                <w:sz w:val="16"/>
                <w:szCs w:val="16"/>
                <w:lang w:val="en-GB"/>
              </w:rPr>
              <w:t>in this regard.</w:t>
            </w:r>
          </w:p>
        </w:tc>
      </w:tr>
      <w:tr w:rsidR="00546D83" w:rsidRPr="003E6F53"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77777777" w:rsidR="00546D83" w:rsidRPr="003E6F53" w:rsidRDefault="00546D83" w:rsidP="009E71C6">
            <w:pPr>
              <w:pStyle w:val="ListNumber"/>
              <w:tabs>
                <w:tab w:val="clear" w:pos="284"/>
              </w:tabs>
              <w:ind w:left="340" w:hanging="340"/>
              <w:jc w:val="left"/>
              <w:rPr>
                <w:b w:val="0"/>
                <w:color w:val="auto"/>
                <w:sz w:val="16"/>
                <w:szCs w:val="16"/>
                <w:lang w:val="en-GB"/>
              </w:rPr>
            </w:pPr>
            <w:r w:rsidRPr="003E6F53">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C is tax resident in your MS. Moreover, please explain whether any deemed deduction would be contingent on a corresponding adjustment in the foreign state.</w:t>
            </w:r>
          </w:p>
        </w:tc>
        <w:tc>
          <w:tcPr>
            <w:tcW w:w="3933" w:type="dxa"/>
          </w:tcPr>
          <w:p w14:paraId="52F36A1E" w14:textId="56D659CB" w:rsidR="00546D83" w:rsidRPr="003E6F53" w:rsidRDefault="00612862" w:rsidP="0025652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Yes. Entitlement to deduction of deemed interest would be contingent on a corresponding taxation of deemed interest in the foreign state.</w:t>
            </w:r>
            <w:r w:rsidR="00226ABC" w:rsidRPr="003E6F53">
              <w:rPr>
                <w:color w:val="auto"/>
                <w:sz w:val="16"/>
                <w:szCs w:val="16"/>
                <w:lang w:val="en-GB"/>
              </w:rPr>
              <w:t xml:space="preserve"> </w:t>
            </w:r>
            <w:r w:rsidR="006A2C3A" w:rsidRPr="003E6F53">
              <w:rPr>
                <w:color w:val="auto"/>
                <w:sz w:val="16"/>
                <w:szCs w:val="16"/>
                <w:lang w:val="en-GB"/>
              </w:rPr>
              <w:t xml:space="preserve">Evidence proving the corresponding taxation </w:t>
            </w:r>
            <w:r w:rsidR="00256528" w:rsidRPr="003E6F53">
              <w:rPr>
                <w:color w:val="auto"/>
                <w:sz w:val="16"/>
                <w:szCs w:val="16"/>
                <w:lang w:val="en-GB"/>
              </w:rPr>
              <w:t>should</w:t>
            </w:r>
            <w:r w:rsidR="006A2C3A" w:rsidRPr="003E6F53">
              <w:rPr>
                <w:color w:val="auto"/>
                <w:sz w:val="16"/>
                <w:szCs w:val="16"/>
                <w:lang w:val="en-GB"/>
              </w:rPr>
              <w:t xml:space="preserve"> be possessed.</w:t>
            </w:r>
          </w:p>
        </w:tc>
      </w:tr>
      <w:tr w:rsidR="00546D83" w:rsidRPr="003E6F53"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546D83" w:rsidRPr="003E6F53" w:rsidRDefault="00546D83" w:rsidP="009E71C6">
            <w:pPr>
              <w:pStyle w:val="ListNumber"/>
              <w:tabs>
                <w:tab w:val="clear" w:pos="284"/>
              </w:tabs>
              <w:ind w:left="340" w:hanging="340"/>
              <w:jc w:val="left"/>
              <w:rPr>
                <w:b w:val="0"/>
                <w:color w:val="auto"/>
                <w:sz w:val="16"/>
                <w:szCs w:val="16"/>
                <w:lang w:val="en-GB"/>
              </w:rPr>
            </w:pPr>
            <w:r w:rsidRPr="003E6F53">
              <w:rPr>
                <w:b w:val="0"/>
                <w:color w:val="auto"/>
                <w:sz w:val="16"/>
                <w:szCs w:val="16"/>
                <w:lang w:val="en-GB"/>
              </w:rPr>
              <w:lastRenderedPageBreak/>
              <w:t>Would the benefit of such a loan compared to a normal interest-bearing loan on arm’s length conditions be taxable to the debtor company in your MS? If yes, how?</w:t>
            </w:r>
          </w:p>
        </w:tc>
        <w:tc>
          <w:tcPr>
            <w:tcW w:w="3933" w:type="dxa"/>
          </w:tcPr>
          <w:p w14:paraId="17878D3C" w14:textId="16C53B53" w:rsidR="00546D83" w:rsidRPr="003E6F53" w:rsidRDefault="00091BB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546D83" w:rsidRPr="003E6F53" w:rsidRDefault="00546D83" w:rsidP="009E71C6">
            <w:pPr>
              <w:pStyle w:val="ListNumber"/>
              <w:tabs>
                <w:tab w:val="clear" w:pos="284"/>
              </w:tabs>
              <w:ind w:left="340" w:hanging="340"/>
              <w:jc w:val="left"/>
              <w:rPr>
                <w:b w:val="0"/>
                <w:color w:val="auto"/>
                <w:sz w:val="16"/>
                <w:szCs w:val="16"/>
                <w:lang w:val="en-GB"/>
              </w:rPr>
            </w:pPr>
            <w:r w:rsidRPr="003E6F53">
              <w:rPr>
                <w:b w:val="0"/>
                <w:color w:val="auto"/>
                <w:sz w:val="16"/>
                <w:szCs w:val="16"/>
                <w:lang w:val="en-GB"/>
              </w:rPr>
              <w:t>Does your MS levy any withholding tax on interest payments?</w:t>
            </w:r>
          </w:p>
        </w:tc>
        <w:tc>
          <w:tcPr>
            <w:tcW w:w="3933" w:type="dxa"/>
          </w:tcPr>
          <w:p w14:paraId="08F7EF56" w14:textId="3C079D68" w:rsidR="00546D83" w:rsidRPr="003E6F53" w:rsidRDefault="00546D8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Yes.</w:t>
            </w:r>
          </w:p>
        </w:tc>
      </w:tr>
      <w:tr w:rsidR="00546D83" w:rsidRPr="003E6F53"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546D83" w:rsidRPr="003E6F53" w:rsidRDefault="00546D83" w:rsidP="003A6F57">
            <w:pPr>
              <w:pStyle w:val="ListNumber"/>
              <w:tabs>
                <w:tab w:val="clear" w:pos="284"/>
              </w:tabs>
              <w:ind w:left="340" w:hanging="340"/>
              <w:jc w:val="left"/>
              <w:rPr>
                <w:b w:val="0"/>
                <w:color w:val="auto"/>
                <w:sz w:val="16"/>
                <w:szCs w:val="16"/>
                <w:lang w:val="en-GB"/>
              </w:rPr>
            </w:pPr>
            <w:r w:rsidRPr="003E6F53">
              <w:rPr>
                <w:b w:val="0"/>
                <w:color w:val="auto"/>
                <w:sz w:val="16"/>
                <w:szCs w:val="16"/>
                <w:lang w:val="en-GB"/>
              </w:rPr>
              <w:t>If yes to 19</w:t>
            </w:r>
          </w:p>
        </w:tc>
        <w:tc>
          <w:tcPr>
            <w:tcW w:w="3933" w:type="dxa"/>
          </w:tcPr>
          <w:p w14:paraId="4538E2CE" w14:textId="77777777"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46D83" w:rsidRPr="003E6F53"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546D83" w:rsidRPr="003E6F53" w:rsidRDefault="00546D83" w:rsidP="000243B6">
            <w:pPr>
              <w:pStyle w:val="ListNumber"/>
              <w:numPr>
                <w:ilvl w:val="0"/>
                <w:numId w:val="27"/>
              </w:numPr>
              <w:ind w:left="709"/>
              <w:jc w:val="left"/>
              <w:rPr>
                <w:b w:val="0"/>
                <w:color w:val="auto"/>
                <w:sz w:val="16"/>
                <w:szCs w:val="16"/>
                <w:lang w:val="en-GB"/>
              </w:rPr>
            </w:pPr>
            <w:r w:rsidRPr="003E6F53">
              <w:rPr>
                <w:b w:val="0"/>
                <w:color w:val="auto"/>
                <w:sz w:val="16"/>
                <w:szCs w:val="16"/>
                <w:lang w:val="en-GB"/>
              </w:rPr>
              <w:t>What is the rate of withholding tax (ignoring tax treaties)?</w:t>
            </w:r>
          </w:p>
        </w:tc>
        <w:tc>
          <w:tcPr>
            <w:tcW w:w="3933" w:type="dxa"/>
          </w:tcPr>
          <w:p w14:paraId="1BE370EB" w14:textId="0B2E7421" w:rsidR="00546D83" w:rsidRPr="003E6F53" w:rsidRDefault="00546D8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10%.</w:t>
            </w:r>
          </w:p>
        </w:tc>
      </w:tr>
      <w:tr w:rsidR="00546D83" w:rsidRPr="003E6F53"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546D83" w:rsidRPr="003E6F53" w:rsidRDefault="00546D83" w:rsidP="000243B6">
            <w:pPr>
              <w:pStyle w:val="ListNumber"/>
              <w:numPr>
                <w:ilvl w:val="0"/>
                <w:numId w:val="27"/>
              </w:numPr>
              <w:ind w:left="709"/>
              <w:jc w:val="left"/>
              <w:rPr>
                <w:b w:val="0"/>
                <w:color w:val="auto"/>
                <w:sz w:val="16"/>
                <w:szCs w:val="16"/>
                <w:lang w:val="en-GB"/>
              </w:rPr>
            </w:pPr>
            <w:r w:rsidRPr="003E6F53">
              <w:rPr>
                <w:b w:val="0"/>
                <w:color w:val="auto"/>
                <w:sz w:val="16"/>
                <w:szCs w:val="16"/>
                <w:lang w:val="en-GB"/>
              </w:rPr>
              <w:t xml:space="preserve">Are there special withholding tax rules for interest paid on a loan from a group member company? </w:t>
            </w:r>
          </w:p>
        </w:tc>
        <w:tc>
          <w:tcPr>
            <w:tcW w:w="3933" w:type="dxa"/>
          </w:tcPr>
          <w:p w14:paraId="0800C15C" w14:textId="627E222B" w:rsidR="00546D83" w:rsidRPr="003E6F53" w:rsidRDefault="008916D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r w:rsidR="009E4CBE" w:rsidRPr="003E6F53">
              <w:rPr>
                <w:color w:val="auto"/>
                <w:sz w:val="16"/>
                <w:szCs w:val="16"/>
                <w:lang w:val="en-GB"/>
              </w:rPr>
              <w:t>.</w:t>
            </w:r>
          </w:p>
        </w:tc>
      </w:tr>
      <w:tr w:rsidR="00546D83" w:rsidRPr="003E6F53"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546D83" w:rsidRPr="003E6F53" w:rsidRDefault="00546D83" w:rsidP="000243B6">
            <w:pPr>
              <w:pStyle w:val="ListNumber"/>
              <w:numPr>
                <w:ilvl w:val="0"/>
                <w:numId w:val="27"/>
              </w:numPr>
              <w:ind w:left="709"/>
              <w:jc w:val="left"/>
              <w:rPr>
                <w:b w:val="0"/>
                <w:color w:val="auto"/>
                <w:sz w:val="16"/>
                <w:szCs w:val="16"/>
                <w:lang w:val="en-GB"/>
              </w:rPr>
            </w:pPr>
            <w:r w:rsidRPr="003E6F53">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0C437BE9" w:rsidR="00546D83" w:rsidRPr="003E6F53" w:rsidRDefault="00546D83" w:rsidP="00EF1BB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Interest paid to non-resident companies registered or otherwise established in an EEA Member State, or in a country, with which Lithuania has an effective tax treaty, is </w:t>
            </w:r>
            <w:r w:rsidR="00EF1BB1" w:rsidRPr="003E6F53">
              <w:rPr>
                <w:color w:val="auto"/>
                <w:sz w:val="16"/>
                <w:szCs w:val="16"/>
                <w:lang w:val="en-GB"/>
              </w:rPr>
              <w:t>not subject to withholding tax</w:t>
            </w:r>
            <w:r w:rsidRPr="003E6F53">
              <w:rPr>
                <w:color w:val="auto"/>
                <w:sz w:val="16"/>
                <w:szCs w:val="16"/>
                <w:lang w:val="en-GB"/>
              </w:rPr>
              <w:t>.</w:t>
            </w:r>
          </w:p>
        </w:tc>
      </w:tr>
      <w:tr w:rsidR="00546D83" w:rsidRPr="003E6F53"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546D83" w:rsidRPr="003E6F53" w:rsidRDefault="00546D83" w:rsidP="000243B6">
            <w:pPr>
              <w:pStyle w:val="ListNumber"/>
              <w:numPr>
                <w:ilvl w:val="0"/>
                <w:numId w:val="27"/>
              </w:numPr>
              <w:ind w:left="709"/>
              <w:jc w:val="left"/>
              <w:rPr>
                <w:b w:val="0"/>
                <w:color w:val="auto"/>
                <w:sz w:val="16"/>
                <w:szCs w:val="16"/>
                <w:lang w:val="en-GB"/>
              </w:rPr>
            </w:pPr>
            <w:r w:rsidRPr="003E6F53">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7DD0D7A5" w14:textId="77777777" w:rsidR="00F22EA4" w:rsidRPr="003E6F53" w:rsidRDefault="00812D2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r w:rsidR="00F22EA4" w:rsidRPr="003E6F53">
              <w:rPr>
                <w:color w:val="auto"/>
                <w:sz w:val="16"/>
                <w:szCs w:val="16"/>
                <w:lang w:val="en-GB"/>
              </w:rPr>
              <w:t>.</w:t>
            </w:r>
          </w:p>
          <w:p w14:paraId="6F3C9F09" w14:textId="77777777" w:rsidR="00F22EA4" w:rsidRPr="003E6F53" w:rsidRDefault="00F22EA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ECA2ADD" w14:textId="06023F65" w:rsidR="00F22EA4" w:rsidRPr="003E6F53" w:rsidRDefault="00F22EA4" w:rsidP="00F22EA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The law does not explicitly establish a beneficial ownership rule for interest exemption; however the rule is explained in the tax authorities’ commentary to the Law on Corporate Income Tax. Thus, it is </w:t>
            </w:r>
            <w:r w:rsidR="00812D2B" w:rsidRPr="003E6F53">
              <w:rPr>
                <w:color w:val="auto"/>
                <w:sz w:val="16"/>
                <w:szCs w:val="16"/>
                <w:lang w:val="en-GB"/>
              </w:rPr>
              <w:t xml:space="preserve">common tax practice to apply a beneficial ownership requirement when </w:t>
            </w:r>
            <w:r w:rsidRPr="003E6F53">
              <w:rPr>
                <w:color w:val="auto"/>
                <w:sz w:val="16"/>
                <w:szCs w:val="16"/>
                <w:lang w:val="en-GB"/>
              </w:rPr>
              <w:t>reducing withholding tax on i</w:t>
            </w:r>
            <w:r w:rsidR="00812D2B" w:rsidRPr="003E6F53">
              <w:rPr>
                <w:color w:val="auto"/>
                <w:sz w:val="16"/>
                <w:szCs w:val="16"/>
                <w:lang w:val="en-GB"/>
              </w:rPr>
              <w:t>nterest payments</w:t>
            </w:r>
            <w:r w:rsidRPr="003E6F53">
              <w:rPr>
                <w:color w:val="auto"/>
                <w:sz w:val="16"/>
                <w:szCs w:val="16"/>
                <w:lang w:val="en-GB"/>
              </w:rPr>
              <w:t>.</w:t>
            </w:r>
          </w:p>
          <w:p w14:paraId="4E64D6D1" w14:textId="30DA9B45" w:rsidR="00F22EA4" w:rsidRPr="003E6F53" w:rsidRDefault="00F22EA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46D83" w:rsidRPr="003E6F53"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546D83" w:rsidRPr="003E6F53" w:rsidRDefault="00546D83" w:rsidP="000243B6">
            <w:pPr>
              <w:pStyle w:val="ListNumber"/>
              <w:numPr>
                <w:ilvl w:val="0"/>
                <w:numId w:val="27"/>
              </w:numPr>
              <w:ind w:left="709"/>
              <w:jc w:val="left"/>
              <w:rPr>
                <w:b w:val="0"/>
                <w:color w:val="auto"/>
                <w:sz w:val="16"/>
                <w:szCs w:val="16"/>
                <w:lang w:val="en-GB"/>
              </w:rPr>
            </w:pPr>
            <w:r w:rsidRPr="003E6F53">
              <w:rPr>
                <w:b w:val="0"/>
                <w:color w:val="auto"/>
                <w:sz w:val="16"/>
                <w:szCs w:val="16"/>
                <w:lang w:val="en-GB"/>
              </w:rPr>
              <w:t>Is such exemption, reduction or refund subject to other anti-avoidance requirements? If yes, please explain briefly.</w:t>
            </w:r>
          </w:p>
        </w:tc>
        <w:tc>
          <w:tcPr>
            <w:tcW w:w="3933" w:type="dxa"/>
          </w:tcPr>
          <w:p w14:paraId="2EF91D2E" w14:textId="315155A3" w:rsidR="00546D83" w:rsidRPr="003E6F53" w:rsidRDefault="003F56E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546D83" w:rsidRPr="003E6F53" w:rsidRDefault="00546D83" w:rsidP="00427661">
            <w:pPr>
              <w:rPr>
                <w:lang w:val="en-GB"/>
              </w:rPr>
            </w:pPr>
            <w:r w:rsidRPr="003E6F53">
              <w:rPr>
                <w:i/>
                <w:sz w:val="16"/>
                <w:szCs w:val="16"/>
                <w:lang w:val="en-GB"/>
              </w:rPr>
              <w:t>Allowance for corporate equity</w:t>
            </w:r>
          </w:p>
        </w:tc>
      </w:tr>
      <w:tr w:rsidR="00546D83" w:rsidRPr="003E6F53"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546D83" w:rsidRPr="003E6F53" w:rsidRDefault="00546D83" w:rsidP="00427661">
            <w:pPr>
              <w:pStyle w:val="ListNumber"/>
              <w:tabs>
                <w:tab w:val="clear" w:pos="284"/>
              </w:tabs>
              <w:ind w:left="340" w:hanging="340"/>
              <w:jc w:val="left"/>
              <w:rPr>
                <w:b w:val="0"/>
                <w:i/>
                <w:color w:val="auto"/>
                <w:sz w:val="16"/>
                <w:szCs w:val="16"/>
                <w:lang w:val="en-GB"/>
              </w:rPr>
            </w:pPr>
            <w:r w:rsidRPr="003E6F53">
              <w:rPr>
                <w:b w:val="0"/>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6F59A876" w:rsidR="00546D83" w:rsidRPr="003E6F53" w:rsidRDefault="00546D8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546D83" w:rsidRPr="003E6F53" w:rsidRDefault="00546D83" w:rsidP="00427661">
            <w:pPr>
              <w:pStyle w:val="ListNumber"/>
              <w:tabs>
                <w:tab w:val="clear" w:pos="284"/>
              </w:tabs>
              <w:ind w:left="340" w:hanging="340"/>
              <w:jc w:val="left"/>
              <w:rPr>
                <w:b w:val="0"/>
                <w:color w:val="auto"/>
                <w:sz w:val="16"/>
                <w:szCs w:val="16"/>
                <w:lang w:val="en-GB"/>
              </w:rPr>
            </w:pPr>
            <w:r w:rsidRPr="003E6F53">
              <w:rPr>
                <w:b w:val="0"/>
                <w:color w:val="auto"/>
                <w:sz w:val="16"/>
                <w:szCs w:val="16"/>
                <w:lang w:val="en-GB"/>
              </w:rPr>
              <w:t>Does your MS offer any tax deduction for dividends declared or paid? If yes, please briefly explain.</w:t>
            </w:r>
          </w:p>
        </w:tc>
        <w:tc>
          <w:tcPr>
            <w:tcW w:w="3933" w:type="dxa"/>
          </w:tcPr>
          <w:p w14:paraId="3B67270E" w14:textId="5DA0AB28" w:rsidR="00546D83" w:rsidRPr="003E6F53" w:rsidRDefault="00546D8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546D83" w:rsidRPr="003E6F53" w:rsidRDefault="00546D83" w:rsidP="00427661">
            <w:pPr>
              <w:rPr>
                <w:lang w:val="en-GB"/>
              </w:rPr>
            </w:pPr>
            <w:r w:rsidRPr="003E6F53">
              <w:rPr>
                <w:i/>
                <w:sz w:val="16"/>
                <w:szCs w:val="16"/>
                <w:lang w:val="en-GB"/>
              </w:rPr>
              <w:t>Royalty and other income from intangible property</w:t>
            </w:r>
          </w:p>
        </w:tc>
      </w:tr>
      <w:tr w:rsidR="00546D83" w:rsidRPr="003E6F53"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62F22D11" w:rsidR="00546D83" w:rsidRPr="003E6F53" w:rsidRDefault="00546D83" w:rsidP="00630C9F">
            <w:pPr>
              <w:pStyle w:val="ListNumber"/>
              <w:tabs>
                <w:tab w:val="clear" w:pos="284"/>
              </w:tabs>
              <w:ind w:left="340" w:hanging="340"/>
              <w:jc w:val="left"/>
              <w:rPr>
                <w:b w:val="0"/>
                <w:i/>
                <w:sz w:val="16"/>
                <w:szCs w:val="16"/>
                <w:lang w:val="en-GB"/>
              </w:rPr>
            </w:pPr>
            <w:r w:rsidRPr="003E6F53">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Must the company have its own substantial R&amp;D activities? Can the preferential tax treatment be applied also to income from other taxpayers in your MS?</w:t>
            </w:r>
          </w:p>
        </w:tc>
        <w:tc>
          <w:tcPr>
            <w:tcW w:w="3933" w:type="dxa"/>
          </w:tcPr>
          <w:p w14:paraId="3D84CA21" w14:textId="62592E78" w:rsidR="00546D83" w:rsidRPr="003E6F53" w:rsidRDefault="00EC6D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546D83" w:rsidRPr="003E6F53" w:rsidRDefault="00546D83" w:rsidP="0046408E">
            <w:pPr>
              <w:pStyle w:val="ListNumber"/>
              <w:tabs>
                <w:tab w:val="clear" w:pos="284"/>
              </w:tabs>
              <w:ind w:left="340" w:hanging="340"/>
              <w:jc w:val="left"/>
              <w:rPr>
                <w:b w:val="0"/>
                <w:sz w:val="16"/>
                <w:szCs w:val="16"/>
                <w:lang w:val="en-GB"/>
              </w:rPr>
            </w:pPr>
            <w:r w:rsidRPr="003E6F53">
              <w:rPr>
                <w:b w:val="0"/>
                <w:sz w:val="16"/>
                <w:szCs w:val="16"/>
                <w:lang w:val="en-GB"/>
              </w:rPr>
              <w:t>Can a company in your MS obtain R&amp;D tax credits (typically enhanced tax deduction or tax refund) for costs incurred, e.g. in developing IP rights?</w:t>
            </w:r>
          </w:p>
        </w:tc>
        <w:tc>
          <w:tcPr>
            <w:tcW w:w="3933" w:type="dxa"/>
          </w:tcPr>
          <w:p w14:paraId="12589A92" w14:textId="5134161A" w:rsidR="001F0DA9" w:rsidRPr="003E6F53" w:rsidRDefault="00EC6D8F" w:rsidP="001F0DA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Yes. </w:t>
            </w:r>
            <w:r w:rsidR="000A6892" w:rsidRPr="003E6F53">
              <w:rPr>
                <w:color w:val="auto"/>
                <w:sz w:val="16"/>
                <w:szCs w:val="16"/>
                <w:lang w:val="en-GB"/>
              </w:rPr>
              <w:t xml:space="preserve">Qualifying R&amp;D costs are not capitalized; these costs are deducted three times in the taxable period they are incurred (except for depreciation or amortisation costs of fixed assets). </w:t>
            </w:r>
            <w:r w:rsidR="008F310C" w:rsidRPr="003E6F53">
              <w:rPr>
                <w:color w:val="auto"/>
                <w:sz w:val="16"/>
                <w:szCs w:val="16"/>
                <w:lang w:val="en-GB"/>
              </w:rPr>
              <w:t xml:space="preserve">For certain categories of fixed assets </w:t>
            </w:r>
            <w:r w:rsidR="00526D7B" w:rsidRPr="003E6F53">
              <w:rPr>
                <w:color w:val="auto"/>
                <w:sz w:val="16"/>
                <w:szCs w:val="16"/>
                <w:lang w:val="en-GB"/>
              </w:rPr>
              <w:t xml:space="preserve">a </w:t>
            </w:r>
            <w:r w:rsidR="00996541" w:rsidRPr="003E6F53">
              <w:rPr>
                <w:color w:val="auto"/>
                <w:sz w:val="16"/>
                <w:szCs w:val="16"/>
                <w:lang w:val="en-GB"/>
              </w:rPr>
              <w:t>super</w:t>
            </w:r>
            <w:r w:rsidR="001F0DA9" w:rsidRPr="003E6F53">
              <w:rPr>
                <w:color w:val="auto"/>
                <w:sz w:val="16"/>
                <w:szCs w:val="16"/>
                <w:lang w:val="en-GB"/>
              </w:rPr>
              <w:t xml:space="preserve">-accelerated depreciation </w:t>
            </w:r>
            <w:r w:rsidR="00A26CCE" w:rsidRPr="003E6F53">
              <w:rPr>
                <w:color w:val="auto"/>
                <w:sz w:val="16"/>
                <w:szCs w:val="16"/>
                <w:lang w:val="en-GB"/>
              </w:rPr>
              <w:t xml:space="preserve">(2 years) </w:t>
            </w:r>
            <w:r w:rsidR="008F310C" w:rsidRPr="003E6F53">
              <w:rPr>
                <w:color w:val="auto"/>
                <w:sz w:val="16"/>
                <w:szCs w:val="16"/>
                <w:lang w:val="en-GB"/>
              </w:rPr>
              <w:t xml:space="preserve">is allowed (applicable to </w:t>
            </w:r>
            <w:r w:rsidR="001F0DA9" w:rsidRPr="003E6F53">
              <w:rPr>
                <w:color w:val="auto"/>
                <w:sz w:val="16"/>
                <w:szCs w:val="16"/>
                <w:lang w:val="en-GB"/>
              </w:rPr>
              <w:t>machinery and equipment, installations, computers and communications equipment, software and acquired rights</w:t>
            </w:r>
            <w:r w:rsidR="008F310C" w:rsidRPr="003E6F53">
              <w:rPr>
                <w:color w:val="auto"/>
                <w:sz w:val="16"/>
                <w:szCs w:val="16"/>
                <w:lang w:val="en-GB"/>
              </w:rPr>
              <w:t>)</w:t>
            </w:r>
            <w:r w:rsidR="001F0DA9" w:rsidRPr="003E6F53">
              <w:rPr>
                <w:color w:val="auto"/>
                <w:sz w:val="16"/>
                <w:szCs w:val="16"/>
                <w:lang w:val="en-GB"/>
              </w:rPr>
              <w:t>.</w:t>
            </w:r>
          </w:p>
          <w:p w14:paraId="08B99236" w14:textId="7ECEDB0C" w:rsidR="00546D83" w:rsidRPr="003E6F53" w:rsidRDefault="00546D8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46D83" w:rsidRPr="003E6F53"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546D83" w:rsidRPr="003E6F53" w:rsidRDefault="00546D83" w:rsidP="003A6F57">
            <w:pPr>
              <w:pStyle w:val="ListNumber"/>
              <w:tabs>
                <w:tab w:val="clear" w:pos="284"/>
              </w:tabs>
              <w:ind w:left="340" w:hanging="340"/>
              <w:jc w:val="left"/>
              <w:rPr>
                <w:b w:val="0"/>
                <w:sz w:val="16"/>
                <w:szCs w:val="16"/>
                <w:lang w:val="en-GB"/>
              </w:rPr>
            </w:pPr>
            <w:r w:rsidRPr="003E6F53">
              <w:rPr>
                <w:b w:val="0"/>
                <w:sz w:val="16"/>
                <w:szCs w:val="16"/>
                <w:lang w:val="en-GB"/>
              </w:rPr>
              <w:t xml:space="preserve">If yes to 24, </w:t>
            </w:r>
          </w:p>
        </w:tc>
        <w:tc>
          <w:tcPr>
            <w:tcW w:w="3933" w:type="dxa"/>
          </w:tcPr>
          <w:p w14:paraId="16D86D21" w14:textId="77777777"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46D83" w:rsidRPr="003E6F53"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546D83" w:rsidRPr="003E6F53" w:rsidRDefault="00546D83" w:rsidP="00D67218">
            <w:pPr>
              <w:pStyle w:val="ListNumber"/>
              <w:numPr>
                <w:ilvl w:val="0"/>
                <w:numId w:val="21"/>
              </w:numPr>
              <w:ind w:left="714" w:hanging="357"/>
              <w:jc w:val="left"/>
              <w:rPr>
                <w:b w:val="0"/>
                <w:sz w:val="16"/>
                <w:szCs w:val="16"/>
                <w:lang w:val="en-GB"/>
              </w:rPr>
            </w:pPr>
            <w:r w:rsidRPr="003E6F53">
              <w:rPr>
                <w:b w:val="0"/>
                <w:sz w:val="16"/>
                <w:szCs w:val="16"/>
                <w:lang w:val="en-GB"/>
              </w:rPr>
              <w:t>Please briefly explain the requirements which have to be met, e.g. requirements for certain activity or successful development, etc.</w:t>
            </w:r>
          </w:p>
        </w:tc>
        <w:tc>
          <w:tcPr>
            <w:tcW w:w="3933" w:type="dxa"/>
          </w:tcPr>
          <w:p w14:paraId="30943EFE" w14:textId="30F9B116"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The anticipated result of R&amp;D activities must:</w:t>
            </w:r>
          </w:p>
          <w:p w14:paraId="42415883" w14:textId="77777777"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w:t>
            </w:r>
            <w:r w:rsidRPr="003E6F53">
              <w:rPr>
                <w:color w:val="auto"/>
                <w:sz w:val="16"/>
                <w:szCs w:val="16"/>
                <w:lang w:val="en-GB"/>
              </w:rPr>
              <w:tab/>
              <w:t>contain novelty; and</w:t>
            </w:r>
          </w:p>
          <w:p w14:paraId="760B644B" w14:textId="77777777"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w:t>
            </w:r>
            <w:r w:rsidRPr="003E6F53">
              <w:rPr>
                <w:color w:val="auto"/>
                <w:sz w:val="16"/>
                <w:szCs w:val="16"/>
                <w:lang w:val="en-GB"/>
              </w:rPr>
              <w:tab/>
              <w:t>solve scientific or technical uncertainty.</w:t>
            </w:r>
          </w:p>
          <w:p w14:paraId="6DB50069" w14:textId="3D27B853"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Types of R&amp;D activities covered:</w:t>
            </w:r>
          </w:p>
          <w:p w14:paraId="53DD9EC0" w14:textId="77777777"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lastRenderedPageBreak/>
              <w:t>a)</w:t>
            </w:r>
            <w:r w:rsidRPr="003E6F53">
              <w:rPr>
                <w:color w:val="auto"/>
                <w:sz w:val="16"/>
                <w:szCs w:val="16"/>
                <w:lang w:val="en-GB"/>
              </w:rPr>
              <w:tab/>
              <w:t>basic research - experimental and/or theoretical research aimed at obtaining new knowledge about the essence of phenomena and/or observed reality without aiming, at the time of research, to use the obtained results for a specific purpose;</w:t>
            </w:r>
          </w:p>
          <w:p w14:paraId="78200716" w14:textId="77777777"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b)</w:t>
            </w:r>
            <w:r w:rsidRPr="003E6F53">
              <w:rPr>
                <w:color w:val="auto"/>
                <w:sz w:val="16"/>
                <w:szCs w:val="16"/>
                <w:lang w:val="en-GB"/>
              </w:rPr>
              <w:tab/>
              <w:t>applied research - experimental and/or theoretical research aimed at obtaining new knowledge and approaches for development of new products, technologies or substantial improvement of existing products or technologies;</w:t>
            </w:r>
          </w:p>
          <w:p w14:paraId="7FBCC0F0" w14:textId="77777777"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c)</w:t>
            </w:r>
            <w:r w:rsidRPr="003E6F53">
              <w:rPr>
                <w:color w:val="auto"/>
                <w:sz w:val="16"/>
                <w:szCs w:val="16"/>
                <w:lang w:val="en-GB"/>
              </w:rPr>
              <w:tab/>
              <w:t>experimental development - systematic activity based on the knowledge acquired through research or practical experience, the aim of which is to create new materials, products and equipment, develop new processes, systems and services.</w:t>
            </w:r>
          </w:p>
          <w:p w14:paraId="5640C620" w14:textId="77777777" w:rsidR="00526D7B" w:rsidRPr="003E6F53" w:rsidRDefault="00526D7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7D71A6D" w14:textId="59BD3A4D" w:rsidR="00D716CB" w:rsidRPr="003E6F53" w:rsidRDefault="00D716CB"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Entitlement to the tax incentive does not </w:t>
            </w:r>
            <w:r w:rsidR="00526D7B" w:rsidRPr="003E6F53">
              <w:rPr>
                <w:color w:val="auto"/>
                <w:sz w:val="16"/>
                <w:szCs w:val="16"/>
                <w:lang w:val="en-GB"/>
              </w:rPr>
              <w:t xml:space="preserve">generally </w:t>
            </w:r>
            <w:r w:rsidRPr="003E6F53">
              <w:rPr>
                <w:color w:val="auto"/>
                <w:sz w:val="16"/>
                <w:szCs w:val="16"/>
                <w:lang w:val="en-GB"/>
              </w:rPr>
              <w:t xml:space="preserve">depend on </w:t>
            </w:r>
            <w:r w:rsidR="0017622F" w:rsidRPr="003E6F53">
              <w:rPr>
                <w:color w:val="auto"/>
                <w:sz w:val="16"/>
                <w:szCs w:val="16"/>
                <w:lang w:val="en-GB"/>
              </w:rPr>
              <w:t xml:space="preserve">the success of the project, provided the work itself meets the above criteria and </w:t>
            </w:r>
            <w:r w:rsidR="00EB64CD" w:rsidRPr="003E6F53">
              <w:rPr>
                <w:color w:val="auto"/>
                <w:sz w:val="16"/>
                <w:szCs w:val="16"/>
                <w:lang w:val="en-GB"/>
              </w:rPr>
              <w:t xml:space="preserve">a </w:t>
            </w:r>
            <w:r w:rsidR="0017622F" w:rsidRPr="003E6F53">
              <w:rPr>
                <w:color w:val="auto"/>
                <w:sz w:val="16"/>
                <w:szCs w:val="16"/>
                <w:lang w:val="en-GB"/>
              </w:rPr>
              <w:t>taxpayer has documentation</w:t>
            </w:r>
            <w:r w:rsidR="007C395C" w:rsidRPr="003E6F53">
              <w:rPr>
                <w:color w:val="auto"/>
                <w:sz w:val="16"/>
                <w:szCs w:val="16"/>
                <w:lang w:val="en-GB"/>
              </w:rPr>
              <w:t xml:space="preserve"> describing</w:t>
            </w:r>
            <w:r w:rsidR="0017622F" w:rsidRPr="003E6F53">
              <w:rPr>
                <w:color w:val="auto"/>
                <w:sz w:val="16"/>
                <w:szCs w:val="16"/>
                <w:lang w:val="en-GB"/>
              </w:rPr>
              <w:t xml:space="preserve"> </w:t>
            </w:r>
            <w:r w:rsidR="007C395C" w:rsidRPr="003E6F53">
              <w:rPr>
                <w:color w:val="auto"/>
                <w:sz w:val="16"/>
                <w:szCs w:val="16"/>
                <w:lang w:val="en-GB"/>
              </w:rPr>
              <w:t>project’s objectives and implementation processes, as well scientific or technological problem that is being solved, novelty of the result and reasoning on how t</w:t>
            </w:r>
            <w:r w:rsidR="00EB64CD" w:rsidRPr="003E6F53">
              <w:rPr>
                <w:color w:val="auto"/>
                <w:sz w:val="16"/>
                <w:szCs w:val="16"/>
                <w:lang w:val="en-GB"/>
              </w:rPr>
              <w:t>he result will be used in taxpayer</w:t>
            </w:r>
            <w:r w:rsidR="007C395C" w:rsidRPr="003E6F53">
              <w:rPr>
                <w:color w:val="auto"/>
                <w:sz w:val="16"/>
                <w:szCs w:val="16"/>
                <w:lang w:val="en-GB"/>
              </w:rPr>
              <w:t>’s activities</w:t>
            </w:r>
            <w:r w:rsidR="003D1735" w:rsidRPr="003E6F53">
              <w:rPr>
                <w:color w:val="auto"/>
                <w:sz w:val="16"/>
                <w:szCs w:val="16"/>
                <w:lang w:val="en-GB"/>
              </w:rPr>
              <w:t xml:space="preserve"> (Article 17-1 of CIT Law)</w:t>
            </w:r>
            <w:r w:rsidR="007C395C" w:rsidRPr="003E6F53">
              <w:rPr>
                <w:color w:val="auto"/>
                <w:sz w:val="16"/>
                <w:szCs w:val="16"/>
                <w:lang w:val="en-GB"/>
              </w:rPr>
              <w:t>.</w:t>
            </w:r>
          </w:p>
          <w:p w14:paraId="4C28904E" w14:textId="690CE740" w:rsidR="00546D83" w:rsidRPr="003E6F53" w:rsidRDefault="00546D83" w:rsidP="00D716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46D83" w:rsidRPr="003E6F53"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546D83" w:rsidRPr="003E6F53" w:rsidRDefault="00546D83" w:rsidP="000243B6">
            <w:pPr>
              <w:pStyle w:val="ListNumber"/>
              <w:numPr>
                <w:ilvl w:val="0"/>
                <w:numId w:val="21"/>
              </w:numPr>
              <w:ind w:left="714" w:hanging="357"/>
              <w:jc w:val="left"/>
              <w:rPr>
                <w:b w:val="0"/>
                <w:sz w:val="16"/>
                <w:szCs w:val="16"/>
                <w:lang w:val="en-GB"/>
              </w:rPr>
            </w:pPr>
            <w:r w:rsidRPr="003E6F53">
              <w:rPr>
                <w:b w:val="0"/>
                <w:sz w:val="16"/>
                <w:szCs w:val="16"/>
                <w:lang w:val="en-GB"/>
              </w:rPr>
              <w:lastRenderedPageBreak/>
              <w:t xml:space="preserve">Can such credits also be obtained for costs that are ultimately reimbursed by a group member company to the company in your MS? </w:t>
            </w:r>
          </w:p>
        </w:tc>
        <w:tc>
          <w:tcPr>
            <w:tcW w:w="3933" w:type="dxa"/>
          </w:tcPr>
          <w:p w14:paraId="42BFDC5D" w14:textId="2E29DD12" w:rsidR="009F17B7" w:rsidRPr="003E6F53" w:rsidRDefault="00745F37" w:rsidP="009F17B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r w:rsidR="009F17B7" w:rsidRPr="003E6F53">
              <w:rPr>
                <w:color w:val="auto"/>
                <w:sz w:val="16"/>
                <w:szCs w:val="16"/>
                <w:lang w:val="en-GB"/>
              </w:rPr>
              <w:t xml:space="preserve">, it is possible. However, the only indirect situation, where the R&amp;D costs could be reimbursed by a group member company, is when the R&amp;D tax credit receiver transfers its loss to another group member company. </w:t>
            </w:r>
          </w:p>
          <w:p w14:paraId="5575A66A" w14:textId="77777777" w:rsidR="009F17B7" w:rsidRPr="003E6F53" w:rsidRDefault="009F17B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EDA8C97" w14:textId="77777777" w:rsidR="009F17B7" w:rsidRPr="003E6F53" w:rsidRDefault="009F17B7" w:rsidP="009F17B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This is based on the following: Where R&amp;D works are acquired from another entity or a natural person, the costs incurred due to such acquisition shall be deducted from income only if:</w:t>
            </w:r>
          </w:p>
          <w:p w14:paraId="1FDE332F" w14:textId="695F4D0E" w:rsidR="009F17B7" w:rsidRPr="003E6F53" w:rsidRDefault="009F17B7" w:rsidP="009F17B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 </w:t>
            </w:r>
            <w:r w:rsidRPr="003E6F53">
              <w:rPr>
                <w:color w:val="auto"/>
                <w:sz w:val="16"/>
                <w:szCs w:val="16"/>
                <w:lang w:val="en-GB"/>
              </w:rPr>
              <w:br/>
              <w:t>- the these works have been carried out in a country of the European Economic Area or a state outside the European Economic Area which has concluded and brought into effect a treaty for the avoidance of double taxation with the Republic of Lithuania and</w:t>
            </w:r>
          </w:p>
          <w:p w14:paraId="52962F16" w14:textId="081BFF30" w:rsidR="009F17B7" w:rsidRPr="003E6F53" w:rsidRDefault="009F17B7" w:rsidP="009F17B7">
            <w:pPr>
              <w:cnfStyle w:val="000000100000" w:firstRow="0" w:lastRow="0" w:firstColumn="0" w:lastColumn="0" w:oddVBand="0" w:evenVBand="0" w:oddHBand="1" w:evenHBand="0" w:firstRowFirstColumn="0" w:firstRowLastColumn="0" w:lastRowFirstColumn="0" w:lastRowLastColumn="0"/>
              <w:rPr>
                <w:color w:val="auto"/>
                <w:sz w:val="16"/>
                <w:szCs w:val="16"/>
                <w:highlight w:val="yellow"/>
                <w:lang w:val="en-GB"/>
              </w:rPr>
            </w:pPr>
            <w:r w:rsidRPr="003E6F53">
              <w:rPr>
                <w:color w:val="auto"/>
                <w:sz w:val="16"/>
                <w:szCs w:val="16"/>
                <w:lang w:val="en-GB"/>
              </w:rPr>
              <w:t>- R&amp;D works are related to the usual or intended activities of the entity and will be used in the further R&amp;D works which generate or will generate income or economic benefit</w:t>
            </w:r>
            <w:r w:rsidRPr="003E6F53">
              <w:rPr>
                <w:rFonts w:ascii="Arial" w:hAnsi="Arial" w:cs="Arial"/>
                <w:sz w:val="20"/>
                <w:szCs w:val="20"/>
                <w:lang w:val="en-GB"/>
              </w:rPr>
              <w:t>.</w:t>
            </w:r>
            <w:r w:rsidRPr="003E6F53">
              <w:rPr>
                <w:lang w:val="en-GB"/>
              </w:rPr>
              <w:t xml:space="preserve"> </w:t>
            </w:r>
            <w:r w:rsidRPr="003E6F53">
              <w:rPr>
                <w:lang w:val="en-GB"/>
              </w:rPr>
              <w:br/>
            </w:r>
          </w:p>
        </w:tc>
      </w:tr>
      <w:tr w:rsidR="00546D83" w:rsidRPr="003E6F53"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546D83" w:rsidRPr="003E6F53" w:rsidRDefault="00546D83" w:rsidP="009E71C6">
            <w:pPr>
              <w:pStyle w:val="ListNumber"/>
              <w:tabs>
                <w:tab w:val="clear" w:pos="284"/>
              </w:tabs>
              <w:ind w:left="340" w:hanging="340"/>
              <w:jc w:val="left"/>
              <w:rPr>
                <w:b w:val="0"/>
                <w:sz w:val="16"/>
                <w:szCs w:val="16"/>
                <w:lang w:val="en-GB"/>
              </w:rPr>
            </w:pPr>
            <w:r w:rsidRPr="003E6F53">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1F2E03A8" w:rsidR="00546D83" w:rsidRPr="003E6F53" w:rsidRDefault="00355023" w:rsidP="00277AF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No. Taxation would be based on the fair market value </w:t>
            </w:r>
            <w:r w:rsidR="00E043C5" w:rsidRPr="003E6F53">
              <w:rPr>
                <w:color w:val="auto"/>
                <w:sz w:val="16"/>
                <w:szCs w:val="16"/>
                <w:lang w:val="en-GB"/>
              </w:rPr>
              <w:t xml:space="preserve">of the IP at the time of the transfer (based on OECD’s TP Guidelines). A later increase in fair market value shall not result in retroactive increase of transfer price </w:t>
            </w:r>
            <w:r w:rsidR="008F5619" w:rsidRPr="003E6F53">
              <w:rPr>
                <w:color w:val="auto"/>
                <w:sz w:val="16"/>
                <w:szCs w:val="16"/>
                <w:lang w:val="en-GB"/>
              </w:rPr>
              <w:t xml:space="preserve">unless there are strong indications that </w:t>
            </w:r>
            <w:r w:rsidR="00E043C5" w:rsidRPr="003E6F53">
              <w:rPr>
                <w:color w:val="auto"/>
                <w:sz w:val="16"/>
                <w:szCs w:val="16"/>
                <w:lang w:val="en-GB"/>
              </w:rPr>
              <w:t>at the time of the transfer</w:t>
            </w:r>
            <w:r w:rsidR="008F5619" w:rsidRPr="003E6F53">
              <w:rPr>
                <w:color w:val="auto"/>
                <w:sz w:val="16"/>
                <w:szCs w:val="16"/>
                <w:lang w:val="en-GB"/>
              </w:rPr>
              <w:t xml:space="preserve"> the fair market value of the IP was higher.</w:t>
            </w:r>
          </w:p>
        </w:tc>
      </w:tr>
      <w:tr w:rsidR="00546D83" w:rsidRPr="003E6F53"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546D83" w:rsidRPr="003E6F53" w:rsidRDefault="00546D83" w:rsidP="00D67218">
            <w:pPr>
              <w:pStyle w:val="ListNumber"/>
              <w:tabs>
                <w:tab w:val="clear" w:pos="284"/>
              </w:tabs>
              <w:ind w:left="340" w:hanging="340"/>
              <w:jc w:val="left"/>
              <w:rPr>
                <w:b w:val="0"/>
                <w:sz w:val="16"/>
                <w:szCs w:val="16"/>
                <w:lang w:val="en-GB"/>
              </w:rPr>
            </w:pPr>
            <w:r w:rsidRPr="003E6F53">
              <w:rPr>
                <w:b w:val="0"/>
                <w:sz w:val="16"/>
                <w:szCs w:val="16"/>
                <w:lang w:val="en-GB"/>
              </w:rPr>
              <w:t>If no to 26, i.e. your MS would impose tax on the disposal,</w:t>
            </w:r>
          </w:p>
          <w:p w14:paraId="21C81D87" w14:textId="77777777" w:rsidR="00546D83" w:rsidRPr="003E6F53" w:rsidRDefault="00546D83" w:rsidP="009E71C6">
            <w:pPr>
              <w:pStyle w:val="ListNumber"/>
              <w:numPr>
                <w:ilvl w:val="0"/>
                <w:numId w:val="0"/>
              </w:numPr>
              <w:ind w:left="340"/>
              <w:rPr>
                <w:b w:val="0"/>
                <w:sz w:val="16"/>
                <w:szCs w:val="16"/>
                <w:lang w:val="en-GB"/>
              </w:rPr>
            </w:pPr>
          </w:p>
        </w:tc>
        <w:tc>
          <w:tcPr>
            <w:tcW w:w="3933" w:type="dxa"/>
          </w:tcPr>
          <w:p w14:paraId="15218C20" w14:textId="77777777"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46D83" w:rsidRPr="003E6F53"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546D83" w:rsidRPr="003E6F53" w:rsidRDefault="00546D83" w:rsidP="000243B6">
            <w:pPr>
              <w:pStyle w:val="ListNumber"/>
              <w:numPr>
                <w:ilvl w:val="0"/>
                <w:numId w:val="22"/>
              </w:numPr>
              <w:ind w:left="714" w:hanging="357"/>
              <w:jc w:val="left"/>
              <w:rPr>
                <w:b w:val="0"/>
                <w:sz w:val="16"/>
                <w:szCs w:val="16"/>
                <w:lang w:val="en-GB"/>
              </w:rPr>
            </w:pPr>
            <w:r w:rsidRPr="003E6F53">
              <w:rPr>
                <w:b w:val="0"/>
                <w:sz w:val="16"/>
                <w:szCs w:val="16"/>
                <w:lang w:val="en-GB"/>
              </w:rPr>
              <w:t>Is the relevant capital gains tax rate lower than the standard rate?</w:t>
            </w:r>
          </w:p>
        </w:tc>
        <w:tc>
          <w:tcPr>
            <w:tcW w:w="3933" w:type="dxa"/>
          </w:tcPr>
          <w:p w14:paraId="2ECDA0F6" w14:textId="66C01691" w:rsidR="00546D83" w:rsidRPr="003E6F53" w:rsidRDefault="00D852A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546D83" w:rsidRPr="003E6F53" w:rsidRDefault="00546D83" w:rsidP="003949EE">
            <w:pPr>
              <w:pStyle w:val="ListNumber"/>
              <w:numPr>
                <w:ilvl w:val="0"/>
                <w:numId w:val="22"/>
              </w:numPr>
              <w:jc w:val="left"/>
              <w:rPr>
                <w:b w:val="0"/>
                <w:sz w:val="16"/>
                <w:szCs w:val="16"/>
                <w:lang w:val="en-GB"/>
              </w:rPr>
            </w:pPr>
            <w:r w:rsidRPr="003E6F53">
              <w:rPr>
                <w:b w:val="0"/>
                <w:sz w:val="16"/>
                <w:szCs w:val="16"/>
                <w:lang w:val="en-GB"/>
              </w:rPr>
              <w:t xml:space="preserve">Does taxation arise as a result of an anti-abuse provision or similar? </w:t>
            </w:r>
          </w:p>
        </w:tc>
        <w:tc>
          <w:tcPr>
            <w:tcW w:w="3933" w:type="dxa"/>
          </w:tcPr>
          <w:p w14:paraId="38972EB6" w14:textId="50D65BA2" w:rsidR="00546D83" w:rsidRPr="003E6F53" w:rsidRDefault="00D852A9" w:rsidP="00B34D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No. Taxation arises a result of general taxation rules and a requirement for </w:t>
            </w:r>
            <w:r w:rsidR="00B34D40" w:rsidRPr="003E6F53">
              <w:rPr>
                <w:color w:val="auto"/>
                <w:sz w:val="16"/>
                <w:szCs w:val="16"/>
                <w:lang w:val="en-GB"/>
              </w:rPr>
              <w:t xml:space="preserve">prices of </w:t>
            </w:r>
            <w:r w:rsidR="00B34D40" w:rsidRPr="003E6F53">
              <w:rPr>
                <w:color w:val="auto"/>
                <w:sz w:val="16"/>
                <w:szCs w:val="16"/>
                <w:lang w:val="en-GB"/>
              </w:rPr>
              <w:lastRenderedPageBreak/>
              <w:t xml:space="preserve">transactions between associated parties to be set at arm’s length (Article </w:t>
            </w:r>
            <w:r w:rsidR="00A83026" w:rsidRPr="003E6F53">
              <w:rPr>
                <w:color w:val="auto"/>
                <w:sz w:val="16"/>
                <w:szCs w:val="16"/>
                <w:lang w:val="en-GB"/>
              </w:rPr>
              <w:t>40 of CIT Law).</w:t>
            </w:r>
          </w:p>
        </w:tc>
      </w:tr>
      <w:tr w:rsidR="00546D83" w:rsidRPr="003E6F53"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546D83" w:rsidRPr="003E6F53" w:rsidRDefault="00546D83" w:rsidP="004E06FE">
            <w:pPr>
              <w:pStyle w:val="ListNumber"/>
              <w:numPr>
                <w:ilvl w:val="0"/>
                <w:numId w:val="22"/>
              </w:numPr>
              <w:ind w:left="714" w:hanging="357"/>
              <w:jc w:val="left"/>
              <w:rPr>
                <w:sz w:val="16"/>
                <w:szCs w:val="16"/>
                <w:lang w:val="en-GB"/>
              </w:rPr>
            </w:pPr>
            <w:r w:rsidRPr="003E6F53">
              <w:rPr>
                <w:b w:val="0"/>
                <w:sz w:val="16"/>
                <w:szCs w:val="16"/>
                <w:lang w:val="en-GB"/>
              </w:rPr>
              <w:lastRenderedPageBreak/>
              <w:t>Would any R&amp;D tax credits obtained in the past be reversed upon a disposal?</w:t>
            </w:r>
          </w:p>
        </w:tc>
        <w:tc>
          <w:tcPr>
            <w:tcW w:w="3933" w:type="dxa"/>
          </w:tcPr>
          <w:p w14:paraId="47004F5B" w14:textId="30097098" w:rsidR="00546D83" w:rsidRPr="003E6F53" w:rsidRDefault="002A2B1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546D83" w:rsidRPr="003E6F53" w:rsidRDefault="00546D83" w:rsidP="00D67218">
            <w:pPr>
              <w:pStyle w:val="ListNumber"/>
              <w:numPr>
                <w:ilvl w:val="0"/>
                <w:numId w:val="22"/>
              </w:numPr>
              <w:ind w:left="714" w:hanging="357"/>
              <w:jc w:val="left"/>
              <w:rPr>
                <w:b w:val="0"/>
                <w:sz w:val="16"/>
                <w:szCs w:val="16"/>
                <w:lang w:val="en-GB"/>
              </w:rPr>
            </w:pPr>
            <w:r w:rsidRPr="003E6F53">
              <w:rPr>
                <w:b w:val="0"/>
                <w:sz w:val="16"/>
                <w:szCs w:val="16"/>
                <w:lang w:val="en-GB"/>
              </w:rPr>
              <w:t>Can a ruling confirming the value of the IP be obtained?</w:t>
            </w:r>
          </w:p>
        </w:tc>
        <w:tc>
          <w:tcPr>
            <w:tcW w:w="3933" w:type="dxa"/>
          </w:tcPr>
          <w:p w14:paraId="1F22DE1D" w14:textId="664E15C0" w:rsidR="00546D83" w:rsidRPr="003E6F53" w:rsidRDefault="000D5F97" w:rsidP="00E37A8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Binding ruling can be obtained confirming the </w:t>
            </w:r>
            <w:r w:rsidR="00E37A8B" w:rsidRPr="003E6F53">
              <w:rPr>
                <w:color w:val="auto"/>
                <w:sz w:val="16"/>
                <w:szCs w:val="16"/>
                <w:lang w:val="en-GB"/>
              </w:rPr>
              <w:t xml:space="preserve">transfer pricing principles </w:t>
            </w:r>
            <w:r w:rsidR="0025313E" w:rsidRPr="003E6F53">
              <w:rPr>
                <w:color w:val="auto"/>
                <w:sz w:val="16"/>
                <w:szCs w:val="16"/>
                <w:lang w:val="en-GB"/>
              </w:rPr>
              <w:t xml:space="preserve">to be applied for a transaction </w:t>
            </w:r>
            <w:r w:rsidR="00E37A8B" w:rsidRPr="003E6F53">
              <w:rPr>
                <w:color w:val="auto"/>
                <w:sz w:val="16"/>
                <w:szCs w:val="16"/>
                <w:lang w:val="en-GB"/>
              </w:rPr>
              <w:t xml:space="preserve">and the </w:t>
            </w:r>
            <w:r w:rsidRPr="003E6F53">
              <w:rPr>
                <w:color w:val="auto"/>
                <w:sz w:val="16"/>
                <w:szCs w:val="16"/>
                <w:lang w:val="en-GB"/>
              </w:rPr>
              <w:t xml:space="preserve">arm’s length </w:t>
            </w:r>
            <w:r w:rsidR="00E37A8B" w:rsidRPr="003E6F53">
              <w:rPr>
                <w:color w:val="auto"/>
                <w:sz w:val="16"/>
                <w:szCs w:val="16"/>
                <w:lang w:val="en-GB"/>
              </w:rPr>
              <w:t xml:space="preserve">price </w:t>
            </w:r>
            <w:r w:rsidRPr="003E6F53">
              <w:rPr>
                <w:color w:val="auto"/>
                <w:sz w:val="16"/>
                <w:szCs w:val="16"/>
                <w:lang w:val="en-GB"/>
              </w:rPr>
              <w:t>range.</w:t>
            </w:r>
          </w:p>
        </w:tc>
      </w:tr>
      <w:tr w:rsidR="00546D83" w:rsidRPr="003E6F53"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546D83" w:rsidRPr="003E6F53" w:rsidRDefault="00546D83" w:rsidP="00427661">
            <w:pPr>
              <w:rPr>
                <w:lang w:val="en-GB"/>
              </w:rPr>
            </w:pPr>
            <w:r w:rsidRPr="003E6F53">
              <w:rPr>
                <w:i/>
                <w:sz w:val="16"/>
                <w:szCs w:val="16"/>
                <w:lang w:val="en-GB"/>
              </w:rPr>
              <w:t>Royalty and other IP costs</w:t>
            </w:r>
          </w:p>
        </w:tc>
      </w:tr>
      <w:tr w:rsidR="00546D83" w:rsidRPr="003E6F53"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546D83" w:rsidRPr="003E6F53" w:rsidRDefault="00546D83" w:rsidP="000E3D43">
            <w:pPr>
              <w:pStyle w:val="ListNumber"/>
              <w:tabs>
                <w:tab w:val="clear" w:pos="284"/>
              </w:tabs>
              <w:ind w:left="340" w:hanging="340"/>
              <w:jc w:val="left"/>
              <w:rPr>
                <w:b w:val="0"/>
                <w:i/>
                <w:sz w:val="16"/>
                <w:szCs w:val="16"/>
                <w:lang w:val="en-GB"/>
              </w:rPr>
            </w:pPr>
            <w:r w:rsidRPr="003E6F53">
              <w:rPr>
                <w:b w:val="0"/>
                <w:sz w:val="16"/>
                <w:szCs w:val="16"/>
                <w:lang w:val="en-GB"/>
              </w:rPr>
              <w:t>Is royalty paid by a company in your MS to a group member company in another MS or for utilization of IP tax deductible?</w:t>
            </w:r>
          </w:p>
        </w:tc>
        <w:tc>
          <w:tcPr>
            <w:tcW w:w="3933" w:type="dxa"/>
          </w:tcPr>
          <w:p w14:paraId="3DC7E51A" w14:textId="08A86D60"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tc>
      </w:tr>
      <w:tr w:rsidR="00546D83" w:rsidRPr="003E6F53"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546D83" w:rsidRPr="003E6F53" w:rsidRDefault="00546D83" w:rsidP="003A6F57">
            <w:pPr>
              <w:pStyle w:val="ListNumber"/>
              <w:tabs>
                <w:tab w:val="clear" w:pos="284"/>
              </w:tabs>
              <w:ind w:left="340" w:hanging="340"/>
              <w:jc w:val="left"/>
              <w:rPr>
                <w:b w:val="0"/>
                <w:sz w:val="16"/>
                <w:szCs w:val="16"/>
                <w:lang w:val="en-GB"/>
              </w:rPr>
            </w:pPr>
            <w:r w:rsidRPr="003E6F53">
              <w:rPr>
                <w:b w:val="0"/>
                <w:sz w:val="16"/>
                <w:szCs w:val="16"/>
                <w:lang w:val="en-GB"/>
              </w:rPr>
              <w:t>If yes to 28,</w:t>
            </w:r>
          </w:p>
        </w:tc>
        <w:tc>
          <w:tcPr>
            <w:tcW w:w="3933" w:type="dxa"/>
          </w:tcPr>
          <w:p w14:paraId="09464071" w14:textId="77777777" w:rsidR="00546D83" w:rsidRPr="003E6F53" w:rsidRDefault="00546D8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46D83" w:rsidRPr="003E6F53"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546D83" w:rsidRPr="003E6F53" w:rsidRDefault="00546D83" w:rsidP="000243B6">
            <w:pPr>
              <w:pStyle w:val="ListNumber"/>
              <w:numPr>
                <w:ilvl w:val="0"/>
                <w:numId w:val="28"/>
              </w:numPr>
              <w:jc w:val="left"/>
              <w:rPr>
                <w:b w:val="0"/>
                <w:sz w:val="16"/>
                <w:szCs w:val="16"/>
                <w:lang w:val="en-GB"/>
              </w:rPr>
            </w:pPr>
            <w:r w:rsidRPr="003E6F53">
              <w:rPr>
                <w:b w:val="0"/>
                <w:sz w:val="16"/>
                <w:szCs w:val="16"/>
                <w:lang w:val="en-GB"/>
              </w:rPr>
              <w:t xml:space="preserve">Is the tax deduction dependent on whether the royalty income is taxed in the hands of the IP-licensor/IP-owner? </w:t>
            </w:r>
          </w:p>
        </w:tc>
        <w:tc>
          <w:tcPr>
            <w:tcW w:w="3933" w:type="dxa"/>
          </w:tcPr>
          <w:p w14:paraId="1D5D7914" w14:textId="28A68C1D" w:rsidR="00546D83" w:rsidRPr="003E6F53" w:rsidRDefault="00BF2DD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546D83" w:rsidRPr="003E6F53" w:rsidRDefault="00546D83" w:rsidP="000243B6">
            <w:pPr>
              <w:pStyle w:val="ListNumber"/>
              <w:numPr>
                <w:ilvl w:val="0"/>
                <w:numId w:val="28"/>
              </w:numPr>
              <w:ind w:left="714" w:hanging="357"/>
              <w:jc w:val="left"/>
              <w:rPr>
                <w:b w:val="0"/>
                <w:sz w:val="16"/>
                <w:szCs w:val="16"/>
                <w:lang w:val="en-GB"/>
              </w:rPr>
            </w:pPr>
            <w:r w:rsidRPr="003E6F53">
              <w:rPr>
                <w:b w:val="0"/>
                <w:sz w:val="16"/>
                <w:szCs w:val="16"/>
                <w:lang w:val="en-GB"/>
              </w:rPr>
              <w:t>Are there types of royalty payments which cannot be deducted?</w:t>
            </w:r>
          </w:p>
        </w:tc>
        <w:tc>
          <w:tcPr>
            <w:tcW w:w="3933" w:type="dxa"/>
          </w:tcPr>
          <w:p w14:paraId="4C81640A" w14:textId="185A06CF" w:rsidR="00546D83" w:rsidRPr="003E6F53" w:rsidRDefault="00BF2DD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546D83" w:rsidRPr="003E6F53" w:rsidRDefault="00546D83" w:rsidP="009E71C6">
            <w:pPr>
              <w:pStyle w:val="ListNumber"/>
              <w:tabs>
                <w:tab w:val="clear" w:pos="284"/>
              </w:tabs>
              <w:ind w:left="340" w:hanging="340"/>
              <w:jc w:val="left"/>
              <w:rPr>
                <w:b w:val="0"/>
                <w:sz w:val="16"/>
                <w:szCs w:val="16"/>
                <w:lang w:val="en-GB"/>
              </w:rPr>
            </w:pPr>
            <w:r w:rsidRPr="003E6F53">
              <w:rPr>
                <w:b w:val="0"/>
                <w:sz w:val="16"/>
                <w:szCs w:val="16"/>
                <w:lang w:val="en-GB"/>
              </w:rPr>
              <w:t>Does your MS levy any withholding tax on royalty payments?</w:t>
            </w:r>
          </w:p>
        </w:tc>
        <w:tc>
          <w:tcPr>
            <w:tcW w:w="3933" w:type="dxa"/>
          </w:tcPr>
          <w:p w14:paraId="768129AB" w14:textId="4078BD10"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tc>
      </w:tr>
      <w:tr w:rsidR="00546D83" w:rsidRPr="003E6F53"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546D83" w:rsidRPr="003E6F53" w:rsidRDefault="00546D83" w:rsidP="003A6F57">
            <w:pPr>
              <w:pStyle w:val="ListNumber"/>
              <w:tabs>
                <w:tab w:val="clear" w:pos="284"/>
              </w:tabs>
              <w:ind w:left="340" w:hanging="340"/>
              <w:jc w:val="left"/>
              <w:rPr>
                <w:b w:val="0"/>
                <w:sz w:val="16"/>
                <w:szCs w:val="16"/>
                <w:lang w:val="en-GB"/>
              </w:rPr>
            </w:pPr>
            <w:r w:rsidRPr="003E6F53">
              <w:rPr>
                <w:b w:val="0"/>
                <w:sz w:val="16"/>
                <w:szCs w:val="16"/>
                <w:lang w:val="en-GB"/>
              </w:rPr>
              <w:t>If yes to 30,</w:t>
            </w:r>
          </w:p>
        </w:tc>
        <w:tc>
          <w:tcPr>
            <w:tcW w:w="3933" w:type="dxa"/>
          </w:tcPr>
          <w:p w14:paraId="0D516FDB" w14:textId="77777777" w:rsidR="00546D83" w:rsidRPr="003E6F53" w:rsidRDefault="00546D8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46D83" w:rsidRPr="003E6F53"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546D83" w:rsidRPr="003E6F53" w:rsidRDefault="00546D83" w:rsidP="000243B6">
            <w:pPr>
              <w:pStyle w:val="ListNumber"/>
              <w:numPr>
                <w:ilvl w:val="0"/>
                <w:numId w:val="29"/>
              </w:numPr>
              <w:jc w:val="left"/>
              <w:rPr>
                <w:b w:val="0"/>
                <w:sz w:val="16"/>
                <w:szCs w:val="16"/>
                <w:lang w:val="en-GB"/>
              </w:rPr>
            </w:pPr>
            <w:r w:rsidRPr="003E6F53">
              <w:rPr>
                <w:b w:val="0"/>
                <w:sz w:val="16"/>
                <w:szCs w:val="16"/>
                <w:lang w:val="en-GB"/>
              </w:rPr>
              <w:t>What is the rate of withholding tax (ignoring tax treaties)?</w:t>
            </w:r>
          </w:p>
        </w:tc>
        <w:tc>
          <w:tcPr>
            <w:tcW w:w="3933" w:type="dxa"/>
          </w:tcPr>
          <w:p w14:paraId="4593399B" w14:textId="72F9E9B3"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10%.</w:t>
            </w:r>
          </w:p>
        </w:tc>
      </w:tr>
      <w:tr w:rsidR="00546D83" w:rsidRPr="003E6F53"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546D83" w:rsidRPr="003E6F53" w:rsidRDefault="00546D83" w:rsidP="00117D22">
            <w:pPr>
              <w:pStyle w:val="ListNumber"/>
              <w:numPr>
                <w:ilvl w:val="0"/>
                <w:numId w:val="29"/>
              </w:numPr>
              <w:jc w:val="left"/>
              <w:rPr>
                <w:b w:val="0"/>
                <w:sz w:val="16"/>
                <w:szCs w:val="16"/>
                <w:lang w:val="en-GB"/>
              </w:rPr>
            </w:pPr>
            <w:r w:rsidRPr="003E6F53">
              <w:rPr>
                <w:b w:val="0"/>
                <w:sz w:val="16"/>
                <w:szCs w:val="16"/>
                <w:lang w:val="en-GB"/>
              </w:rPr>
              <w:t>Are there types of royalty payments which are not subject to withholding tax?</w:t>
            </w:r>
          </w:p>
        </w:tc>
        <w:tc>
          <w:tcPr>
            <w:tcW w:w="3933" w:type="dxa"/>
          </w:tcPr>
          <w:p w14:paraId="7F51E7F1" w14:textId="7BDE06C9" w:rsidR="00546D83" w:rsidRPr="003E6F53" w:rsidRDefault="00CF328D" w:rsidP="006B515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Yes</w:t>
            </w:r>
            <w:r w:rsidR="00546D83" w:rsidRPr="003E6F53">
              <w:rPr>
                <w:rFonts w:cs="Arial"/>
                <w:color w:val="auto"/>
                <w:sz w:val="16"/>
                <w:szCs w:val="16"/>
                <w:shd w:val="clear" w:color="auto" w:fill="FFFFFF"/>
                <w:lang w:val="en-GB"/>
              </w:rPr>
              <w:t>.</w:t>
            </w:r>
            <w:r w:rsidRPr="003E6F53">
              <w:rPr>
                <w:rFonts w:cs="Arial"/>
                <w:color w:val="auto"/>
                <w:sz w:val="16"/>
                <w:szCs w:val="16"/>
                <w:shd w:val="clear" w:color="auto" w:fill="FFFFFF"/>
                <w:lang w:val="en-GB"/>
              </w:rPr>
              <w:t xml:space="preserve"> Outbound royalty payments </w:t>
            </w:r>
            <w:r w:rsidR="002F6A81" w:rsidRPr="003E6F53">
              <w:rPr>
                <w:rFonts w:cs="Arial"/>
                <w:color w:val="auto"/>
                <w:sz w:val="16"/>
                <w:szCs w:val="16"/>
                <w:shd w:val="clear" w:color="auto" w:fill="FFFFFF"/>
                <w:lang w:val="en-GB"/>
              </w:rPr>
              <w:t xml:space="preserve">to entities established in other Member States are exempt from withholding tax provided that participation requirement </w:t>
            </w:r>
            <w:r w:rsidR="00A27258" w:rsidRPr="003E6F53">
              <w:rPr>
                <w:rFonts w:cs="Arial"/>
                <w:color w:val="auto"/>
                <w:sz w:val="16"/>
                <w:szCs w:val="16"/>
                <w:shd w:val="clear" w:color="auto" w:fill="FFFFFF"/>
                <w:lang w:val="en-GB"/>
              </w:rPr>
              <w:t xml:space="preserve">is met (i.e. for not less than 2 years the paying entity owns no less than 25% of recipient’s capital or vice versa or a third entity </w:t>
            </w:r>
            <w:r w:rsidR="0013674F" w:rsidRPr="003E6F53">
              <w:rPr>
                <w:rFonts w:cs="Arial"/>
                <w:color w:val="auto"/>
                <w:sz w:val="16"/>
                <w:szCs w:val="16"/>
                <w:shd w:val="clear" w:color="auto" w:fill="FFFFFF"/>
                <w:lang w:val="en-GB"/>
              </w:rPr>
              <w:t>own</w:t>
            </w:r>
            <w:r w:rsidR="006B5151" w:rsidRPr="003E6F53">
              <w:rPr>
                <w:rFonts w:cs="Arial"/>
                <w:color w:val="auto"/>
                <w:sz w:val="16"/>
                <w:szCs w:val="16"/>
                <w:shd w:val="clear" w:color="auto" w:fill="FFFFFF"/>
                <w:lang w:val="en-GB"/>
              </w:rPr>
              <w:t>s no less than 25% of capital of</w:t>
            </w:r>
            <w:r w:rsidR="0013674F" w:rsidRPr="003E6F53">
              <w:rPr>
                <w:rFonts w:cs="Arial"/>
                <w:color w:val="auto"/>
                <w:sz w:val="16"/>
                <w:szCs w:val="16"/>
                <w:shd w:val="clear" w:color="auto" w:fill="FFFFFF"/>
                <w:lang w:val="en-GB"/>
              </w:rPr>
              <w:t xml:space="preserve"> both the payer and the recipient</w:t>
            </w:r>
            <w:r w:rsidR="006B5151" w:rsidRPr="003E6F53">
              <w:rPr>
                <w:rFonts w:cs="Arial"/>
                <w:color w:val="auto"/>
                <w:sz w:val="16"/>
                <w:szCs w:val="16"/>
                <w:shd w:val="clear" w:color="auto" w:fill="FFFFFF"/>
                <w:lang w:val="en-GB"/>
              </w:rPr>
              <w:t>)</w:t>
            </w:r>
            <w:r w:rsidR="0013674F" w:rsidRPr="003E6F53">
              <w:rPr>
                <w:rFonts w:cs="Arial"/>
                <w:color w:val="auto"/>
                <w:sz w:val="16"/>
                <w:szCs w:val="16"/>
                <w:shd w:val="clear" w:color="auto" w:fill="FFFFFF"/>
                <w:lang w:val="en-GB"/>
              </w:rPr>
              <w:t>.</w:t>
            </w:r>
          </w:p>
        </w:tc>
      </w:tr>
      <w:tr w:rsidR="00546D83" w:rsidRPr="003E6F53"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546D83" w:rsidRPr="003E6F53" w:rsidRDefault="00546D83" w:rsidP="000243B6">
            <w:pPr>
              <w:pStyle w:val="ListNumber"/>
              <w:numPr>
                <w:ilvl w:val="0"/>
                <w:numId w:val="29"/>
              </w:numPr>
              <w:jc w:val="left"/>
              <w:rPr>
                <w:b w:val="0"/>
                <w:sz w:val="16"/>
                <w:szCs w:val="16"/>
                <w:lang w:val="en-GB"/>
              </w:rPr>
            </w:pPr>
            <w:r w:rsidRPr="003E6F53">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6D0675EC" w:rsidR="00546D83" w:rsidRPr="003E6F53" w:rsidRDefault="00FA5F6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r w:rsidR="00624424" w:rsidRPr="003E6F53">
              <w:rPr>
                <w:color w:val="auto"/>
                <w:sz w:val="16"/>
                <w:szCs w:val="16"/>
                <w:lang w:val="en-GB"/>
              </w:rPr>
              <w:t>.</w:t>
            </w:r>
          </w:p>
        </w:tc>
      </w:tr>
      <w:tr w:rsidR="00546D83" w:rsidRPr="003E6F53"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546D83" w:rsidRPr="003E6F53" w:rsidRDefault="00546D83" w:rsidP="000243B6">
            <w:pPr>
              <w:pStyle w:val="ListNumber"/>
              <w:numPr>
                <w:ilvl w:val="0"/>
                <w:numId w:val="29"/>
              </w:numPr>
              <w:jc w:val="left"/>
              <w:rPr>
                <w:b w:val="0"/>
                <w:sz w:val="16"/>
                <w:szCs w:val="16"/>
                <w:lang w:val="en-GB"/>
              </w:rPr>
            </w:pPr>
            <w:r w:rsidRPr="003E6F53">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2BE6C337" w:rsidR="00546D83" w:rsidRPr="003E6F53" w:rsidRDefault="0062442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546D83" w:rsidRPr="003E6F53" w:rsidRDefault="00546D83" w:rsidP="00427661">
            <w:pPr>
              <w:rPr>
                <w:lang w:val="en-GB"/>
              </w:rPr>
            </w:pPr>
            <w:r w:rsidRPr="003E6F53">
              <w:rPr>
                <w:i/>
                <w:sz w:val="16"/>
                <w:szCs w:val="16"/>
                <w:lang w:val="en-GB"/>
              </w:rPr>
              <w:t>Group taxation</w:t>
            </w:r>
          </w:p>
        </w:tc>
      </w:tr>
      <w:tr w:rsidR="00546D83" w:rsidRPr="003E6F53"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546D83" w:rsidRPr="003E6F53" w:rsidRDefault="00546D83" w:rsidP="009E71C6">
            <w:pPr>
              <w:pStyle w:val="ListNumber"/>
              <w:tabs>
                <w:tab w:val="clear" w:pos="284"/>
              </w:tabs>
              <w:ind w:left="340" w:hanging="340"/>
              <w:jc w:val="left"/>
              <w:rPr>
                <w:b w:val="0"/>
                <w:i/>
                <w:sz w:val="16"/>
                <w:szCs w:val="16"/>
                <w:lang w:val="en-GB"/>
              </w:rPr>
            </w:pPr>
            <w:r w:rsidRPr="003E6F53">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F87FCDC" w14:textId="6FD0EF96" w:rsidR="00546D83" w:rsidRPr="003E6F53" w:rsidRDefault="00546D83" w:rsidP="00546D8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color w:val="auto"/>
                <w:sz w:val="16"/>
                <w:szCs w:val="16"/>
                <w:lang w:val="en-GB"/>
              </w:rPr>
              <w:t>Yes</w:t>
            </w:r>
            <w:r w:rsidR="00C3019A" w:rsidRPr="003E6F53">
              <w:rPr>
                <w:color w:val="auto"/>
                <w:sz w:val="16"/>
                <w:szCs w:val="16"/>
                <w:lang w:val="en-GB"/>
              </w:rPr>
              <w:t>.</w:t>
            </w:r>
            <w:r w:rsidRPr="003E6F53">
              <w:rPr>
                <w:color w:val="auto"/>
                <w:sz w:val="16"/>
                <w:szCs w:val="16"/>
                <w:lang w:val="en-GB"/>
              </w:rPr>
              <w:t xml:space="preserve"> T</w:t>
            </w:r>
            <w:r w:rsidRPr="003E6F53">
              <w:rPr>
                <w:rFonts w:cs="Arial"/>
                <w:color w:val="auto"/>
                <w:sz w:val="16"/>
                <w:szCs w:val="16"/>
                <w:lang w:val="en-GB"/>
              </w:rPr>
              <w:t xml:space="preserve">ransfer of tax losses is available among </w:t>
            </w:r>
            <w:r w:rsidR="00C3019A" w:rsidRPr="003E6F53">
              <w:rPr>
                <w:rFonts w:cs="Arial"/>
                <w:color w:val="auto"/>
                <w:sz w:val="16"/>
                <w:szCs w:val="16"/>
                <w:lang w:val="en-GB"/>
              </w:rPr>
              <w:t>the entities of the same group.</w:t>
            </w:r>
          </w:p>
          <w:p w14:paraId="1EFC8181" w14:textId="77777777" w:rsidR="00546D83" w:rsidRPr="003E6F53" w:rsidRDefault="00546D83" w:rsidP="00546D8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5800F5D2" w14:textId="0B41CAF7" w:rsidR="00546D83" w:rsidRPr="003E6F53" w:rsidRDefault="00546D83" w:rsidP="00546D8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An entit</w:t>
            </w:r>
            <w:r w:rsidR="006B5151" w:rsidRPr="003E6F53">
              <w:rPr>
                <w:rFonts w:cs="Arial"/>
                <w:color w:val="auto"/>
                <w:sz w:val="16"/>
                <w:szCs w:val="16"/>
                <w:lang w:val="en-GB"/>
              </w:rPr>
              <w:t xml:space="preserve">y can transfer tax losses (or </w:t>
            </w:r>
            <w:r w:rsidRPr="003E6F53">
              <w:rPr>
                <w:rFonts w:cs="Arial"/>
                <w:color w:val="auto"/>
                <w:sz w:val="16"/>
                <w:szCs w:val="16"/>
                <w:lang w:val="en-GB"/>
              </w:rPr>
              <w:t xml:space="preserve">part of the losses) incurred in the tax year </w:t>
            </w:r>
            <w:r w:rsidR="00C3019A" w:rsidRPr="003E6F53">
              <w:rPr>
                <w:rFonts w:cs="Arial"/>
                <w:color w:val="auto"/>
                <w:sz w:val="16"/>
                <w:szCs w:val="16"/>
                <w:lang w:val="en-GB"/>
              </w:rPr>
              <w:t xml:space="preserve">starting from </w:t>
            </w:r>
            <w:r w:rsidRPr="003E6F53">
              <w:rPr>
                <w:rFonts w:cs="Arial"/>
                <w:color w:val="auto"/>
                <w:sz w:val="16"/>
                <w:szCs w:val="16"/>
                <w:lang w:val="en-GB"/>
              </w:rPr>
              <w:t xml:space="preserve">2010 to another entity of the same group </w:t>
            </w:r>
            <w:r w:rsidR="00C3019A" w:rsidRPr="003E6F53">
              <w:rPr>
                <w:rFonts w:cs="Arial"/>
                <w:color w:val="auto"/>
                <w:sz w:val="16"/>
                <w:szCs w:val="16"/>
                <w:lang w:val="en-GB"/>
              </w:rPr>
              <w:t xml:space="preserve">that </w:t>
            </w:r>
            <w:r w:rsidRPr="003E6F53">
              <w:rPr>
                <w:rFonts w:cs="Arial"/>
                <w:color w:val="auto"/>
                <w:sz w:val="16"/>
                <w:szCs w:val="16"/>
                <w:lang w:val="en-GB"/>
              </w:rPr>
              <w:t xml:space="preserve">has the right to reduce the taxable profit of the same tax </w:t>
            </w:r>
            <w:r w:rsidR="00C3019A" w:rsidRPr="003E6F53">
              <w:rPr>
                <w:rFonts w:cs="Arial"/>
                <w:color w:val="auto"/>
                <w:sz w:val="16"/>
                <w:szCs w:val="16"/>
                <w:lang w:val="en-GB"/>
              </w:rPr>
              <w:t>year</w:t>
            </w:r>
            <w:r w:rsidRPr="003E6F53">
              <w:rPr>
                <w:rFonts w:cs="Arial"/>
                <w:color w:val="auto"/>
                <w:sz w:val="16"/>
                <w:szCs w:val="16"/>
                <w:lang w:val="en-GB"/>
              </w:rPr>
              <w:t>. Such possibility is available only if the following conditions are met:</w:t>
            </w:r>
          </w:p>
          <w:p w14:paraId="5AE0231D" w14:textId="3BB59D95" w:rsidR="00546D83" w:rsidRPr="003E6F53" w:rsidRDefault="00546D83" w:rsidP="00546D83">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 xml:space="preserve">the parent entity controls at least 2/3 of the shares of all the entities participating in the transfer of the tax losses on the day of </w:t>
            </w:r>
            <w:r w:rsidR="00F04BD0" w:rsidRPr="003E6F53">
              <w:rPr>
                <w:rFonts w:cs="Arial"/>
                <w:color w:val="auto"/>
                <w:sz w:val="16"/>
                <w:szCs w:val="16"/>
                <w:lang w:val="en-GB"/>
              </w:rPr>
              <w:t xml:space="preserve">the </w:t>
            </w:r>
            <w:r w:rsidRPr="003E6F53">
              <w:rPr>
                <w:rFonts w:cs="Arial"/>
                <w:color w:val="auto"/>
                <w:sz w:val="16"/>
                <w:szCs w:val="16"/>
                <w:lang w:val="en-GB"/>
              </w:rPr>
              <w:t>transfer of the losses; and</w:t>
            </w:r>
          </w:p>
          <w:p w14:paraId="289BAC56" w14:textId="1619869D" w:rsidR="00546D83" w:rsidRPr="003E6F53" w:rsidRDefault="00546D83" w:rsidP="00546D83">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 xml:space="preserve">the tax losses are transferred among entities which have been members </w:t>
            </w:r>
            <w:r w:rsidR="00F04BD0" w:rsidRPr="003E6F53">
              <w:rPr>
                <w:rFonts w:cs="Arial"/>
                <w:color w:val="auto"/>
                <w:sz w:val="16"/>
                <w:szCs w:val="16"/>
                <w:lang w:val="en-GB"/>
              </w:rPr>
              <w:t>of the same group for at least two</w:t>
            </w:r>
            <w:r w:rsidRPr="003E6F53">
              <w:rPr>
                <w:rFonts w:cs="Arial"/>
                <w:color w:val="auto"/>
                <w:sz w:val="16"/>
                <w:szCs w:val="16"/>
                <w:lang w:val="en-GB"/>
              </w:rPr>
              <w:t xml:space="preserve"> years without interruptions until the date of the transfer of the losses; or</w:t>
            </w:r>
          </w:p>
          <w:p w14:paraId="0DA98517" w14:textId="59400F32" w:rsidR="00546D83" w:rsidRPr="003E6F53" w:rsidRDefault="00546D83" w:rsidP="00546D83">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the tax losses are transferred by or to the entity or entities which are members of the same group starting from their registration date and will be mem</w:t>
            </w:r>
            <w:r w:rsidR="00F04BD0" w:rsidRPr="003E6F53">
              <w:rPr>
                <w:rFonts w:cs="Arial"/>
                <w:color w:val="auto"/>
                <w:sz w:val="16"/>
                <w:szCs w:val="16"/>
                <w:lang w:val="en-GB"/>
              </w:rPr>
              <w:t>bers of the group for at least two</w:t>
            </w:r>
            <w:r w:rsidRPr="003E6F53">
              <w:rPr>
                <w:rFonts w:cs="Arial"/>
                <w:color w:val="auto"/>
                <w:sz w:val="16"/>
                <w:szCs w:val="16"/>
                <w:lang w:val="en-GB"/>
              </w:rPr>
              <w:t xml:space="preserve"> years without i</w:t>
            </w:r>
            <w:r w:rsidR="00F04BD0" w:rsidRPr="003E6F53">
              <w:rPr>
                <w:rFonts w:cs="Arial"/>
                <w:color w:val="auto"/>
                <w:sz w:val="16"/>
                <w:szCs w:val="16"/>
                <w:lang w:val="en-GB"/>
              </w:rPr>
              <w:t xml:space="preserve">nterruptions starting from the date of </w:t>
            </w:r>
            <w:r w:rsidR="00F04BD0" w:rsidRPr="003E6F53">
              <w:rPr>
                <w:rFonts w:cs="Arial"/>
                <w:color w:val="auto"/>
                <w:sz w:val="16"/>
                <w:szCs w:val="16"/>
                <w:lang w:val="en-GB"/>
              </w:rPr>
              <w:lastRenderedPageBreak/>
              <w:t>incorporation</w:t>
            </w:r>
            <w:r w:rsidRPr="003E6F53">
              <w:rPr>
                <w:rFonts w:cs="Arial"/>
                <w:color w:val="auto"/>
                <w:sz w:val="16"/>
                <w:szCs w:val="16"/>
                <w:lang w:val="en-GB"/>
              </w:rPr>
              <w:t>.</w:t>
            </w:r>
          </w:p>
          <w:p w14:paraId="6194345C" w14:textId="77777777" w:rsidR="00546D83" w:rsidRPr="003E6F53" w:rsidRDefault="00546D83" w:rsidP="00546D83">
            <w:pPr>
              <w:shd w:val="clear" w:color="auto" w:fill="FFFFFF"/>
              <w:ind w:left="720"/>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53EF6354" w14:textId="77777777" w:rsidR="00546D83" w:rsidRPr="003E6F53" w:rsidRDefault="00546D83" w:rsidP="00546D83">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A non-resident entity can transfer tax losses (or a part of the losses) to a resident entity only if the following conditions are met:</w:t>
            </w:r>
          </w:p>
          <w:p w14:paraId="42320C31" w14:textId="688A8554" w:rsidR="00546D83" w:rsidRPr="003E6F53" w:rsidRDefault="00546D83" w:rsidP="00546D83">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the non-resident entity is a tax resident of an EU Member State;</w:t>
            </w:r>
          </w:p>
          <w:p w14:paraId="50B52BA3" w14:textId="5157E0F5" w:rsidR="00546D83" w:rsidRPr="003E6F53" w:rsidRDefault="00546D83" w:rsidP="00546D83">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the tax losses of the non-resident entity cannot be carried forward to another tax year (or deducted from its income or profit) according to the laws of the EU Member State that this entity is tax resident in; and</w:t>
            </w:r>
          </w:p>
          <w:p w14:paraId="7E382ADA" w14:textId="0BFBC954" w:rsidR="00546D83" w:rsidRPr="003E6F53" w:rsidRDefault="00546D83" w:rsidP="007002B0">
            <w:pPr>
              <w:numPr>
                <w:ilvl w:val="0"/>
                <w:numId w:val="31"/>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3E6F53">
              <w:rPr>
                <w:rFonts w:cs="Arial"/>
                <w:color w:val="auto"/>
                <w:sz w:val="16"/>
                <w:szCs w:val="16"/>
                <w:lang w:val="en-GB"/>
              </w:rPr>
              <w:t xml:space="preserve">the tax losses to be transferred are calculated according to </w:t>
            </w:r>
            <w:r w:rsidR="007002B0" w:rsidRPr="003E6F53">
              <w:rPr>
                <w:rFonts w:cs="Arial"/>
                <w:color w:val="auto"/>
                <w:sz w:val="16"/>
                <w:szCs w:val="16"/>
                <w:lang w:val="en-GB"/>
              </w:rPr>
              <w:t xml:space="preserve">the </w:t>
            </w:r>
            <w:r w:rsidRPr="003E6F53">
              <w:rPr>
                <w:rFonts w:cs="Arial"/>
                <w:color w:val="auto"/>
                <w:sz w:val="16"/>
                <w:szCs w:val="16"/>
                <w:lang w:val="en-GB"/>
              </w:rPr>
              <w:t xml:space="preserve">provisions of </w:t>
            </w:r>
            <w:r w:rsidR="007002B0" w:rsidRPr="003E6F53">
              <w:rPr>
                <w:rFonts w:cs="Arial"/>
                <w:color w:val="auto"/>
                <w:sz w:val="16"/>
                <w:szCs w:val="16"/>
                <w:lang w:val="en-GB"/>
              </w:rPr>
              <w:t>CIT Law</w:t>
            </w:r>
            <w:r w:rsidRPr="003E6F53">
              <w:rPr>
                <w:rFonts w:cs="Arial"/>
                <w:color w:val="auto"/>
                <w:sz w:val="16"/>
                <w:szCs w:val="16"/>
                <w:lang w:val="en-GB"/>
              </w:rPr>
              <w:t>.</w:t>
            </w:r>
          </w:p>
        </w:tc>
      </w:tr>
      <w:tr w:rsidR="00546D83" w:rsidRPr="003E6F53"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546D83" w:rsidRPr="003E6F53" w:rsidRDefault="00546D83" w:rsidP="003A6F57">
            <w:pPr>
              <w:pStyle w:val="ListNumber"/>
              <w:tabs>
                <w:tab w:val="clear" w:pos="284"/>
              </w:tabs>
              <w:ind w:left="340" w:hanging="340"/>
              <w:jc w:val="left"/>
              <w:rPr>
                <w:b w:val="0"/>
                <w:sz w:val="16"/>
                <w:szCs w:val="16"/>
                <w:lang w:val="en-GB"/>
              </w:rPr>
            </w:pPr>
            <w:r w:rsidRPr="003E6F53">
              <w:rPr>
                <w:b w:val="0"/>
                <w:sz w:val="16"/>
                <w:szCs w:val="16"/>
                <w:lang w:val="en-GB"/>
              </w:rPr>
              <w:lastRenderedPageBreak/>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74907AB2" w:rsidR="00546D83" w:rsidRPr="003E6F53" w:rsidRDefault="00AA1A2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546D83" w:rsidRPr="003E6F53" w:rsidRDefault="00546D83" w:rsidP="00427661">
            <w:pPr>
              <w:rPr>
                <w:lang w:val="en-GB"/>
              </w:rPr>
            </w:pPr>
            <w:r w:rsidRPr="003E6F53">
              <w:rPr>
                <w:i/>
                <w:sz w:val="16"/>
                <w:szCs w:val="16"/>
                <w:lang w:val="en-GB"/>
              </w:rPr>
              <w:t>CFC rules</w:t>
            </w:r>
          </w:p>
        </w:tc>
      </w:tr>
      <w:tr w:rsidR="00546D83" w:rsidRPr="003E6F53"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546D83" w:rsidRPr="003E6F53" w:rsidRDefault="00546D83" w:rsidP="009E71C6">
            <w:pPr>
              <w:pStyle w:val="ListNumber"/>
              <w:tabs>
                <w:tab w:val="clear" w:pos="284"/>
              </w:tabs>
              <w:ind w:left="340" w:hanging="340"/>
              <w:jc w:val="left"/>
              <w:rPr>
                <w:b w:val="0"/>
                <w:i/>
                <w:sz w:val="16"/>
                <w:szCs w:val="16"/>
                <w:lang w:val="en-GB"/>
              </w:rPr>
            </w:pPr>
            <w:r w:rsidRPr="003E6F53">
              <w:rPr>
                <w:b w:val="0"/>
                <w:sz w:val="16"/>
                <w:szCs w:val="16"/>
                <w:lang w:val="en-GB"/>
              </w:rPr>
              <w:t>Does your MS apply CFC rules to foreign subsidiaries of a parent company in your MS?</w:t>
            </w:r>
          </w:p>
        </w:tc>
        <w:tc>
          <w:tcPr>
            <w:tcW w:w="3933" w:type="dxa"/>
          </w:tcPr>
          <w:p w14:paraId="76C89E00" w14:textId="569A5612" w:rsidR="00546D83" w:rsidRPr="003E6F53" w:rsidRDefault="00546D8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w:t>
            </w:r>
          </w:p>
        </w:tc>
      </w:tr>
      <w:tr w:rsidR="00546D83" w:rsidRPr="003E6F53"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546D83" w:rsidRPr="003E6F53" w:rsidRDefault="00546D83" w:rsidP="003A6F57">
            <w:pPr>
              <w:pStyle w:val="ListNumber"/>
              <w:tabs>
                <w:tab w:val="clear" w:pos="284"/>
              </w:tabs>
              <w:ind w:left="340" w:hanging="340"/>
              <w:jc w:val="left"/>
              <w:rPr>
                <w:b w:val="0"/>
                <w:sz w:val="16"/>
                <w:szCs w:val="16"/>
                <w:lang w:val="en-GB"/>
              </w:rPr>
            </w:pPr>
            <w:r w:rsidRPr="003E6F53">
              <w:rPr>
                <w:b w:val="0"/>
                <w:sz w:val="16"/>
                <w:szCs w:val="16"/>
                <w:lang w:val="en-GB"/>
              </w:rPr>
              <w:t>If yes to 34, please briefly explain the rules and their scope.</w:t>
            </w:r>
          </w:p>
        </w:tc>
        <w:tc>
          <w:tcPr>
            <w:tcW w:w="3933" w:type="dxa"/>
          </w:tcPr>
          <w:p w14:paraId="54DEFAB2" w14:textId="77777777" w:rsidR="00546D83" w:rsidRPr="003E6F53" w:rsidRDefault="00546D83"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A controlled foreign company (CFC) is defined as a foreign company in which another company (or individual):</w:t>
            </w:r>
          </w:p>
          <w:p w14:paraId="158EF1B4" w14:textId="4F647D71" w:rsidR="00546D83" w:rsidRPr="003E6F53" w:rsidRDefault="00546D83" w:rsidP="00546D83">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rPr>
              <w:t>directly or indirectly holds more than 50% of the shares or rights (options) in respect of dividends; or</w:t>
            </w:r>
          </w:p>
          <w:p w14:paraId="0ED79BFA" w14:textId="72ECA84B" w:rsidR="00546D83" w:rsidRPr="003E6F53" w:rsidRDefault="00546D83" w:rsidP="00546D83">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rPr>
              <w:t>together</w:t>
            </w:r>
            <w:r w:rsidR="00873A04" w:rsidRPr="003E6F53">
              <w:rPr>
                <w:rFonts w:cs="Arial"/>
                <w:color w:val="auto"/>
                <w:sz w:val="16"/>
                <w:szCs w:val="16"/>
                <w:lang w:val="en-GB"/>
              </w:rPr>
              <w:t xml:space="preserve"> with related parties</w:t>
            </w:r>
            <w:r w:rsidRPr="003E6F53">
              <w:rPr>
                <w:rFonts w:cs="Arial"/>
                <w:color w:val="auto"/>
                <w:sz w:val="16"/>
                <w:szCs w:val="16"/>
                <w:lang w:val="en-GB"/>
              </w:rPr>
              <w:t xml:space="preserve"> holds more than 50% of the shares or rights (options) in respect of dividends and the controlling company’s holding is not less than 10%.</w:t>
            </w:r>
          </w:p>
          <w:p w14:paraId="27DB51B2" w14:textId="77777777" w:rsidR="00546D83" w:rsidRPr="003E6F53" w:rsidRDefault="00546D83"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38372B86" w14:textId="77777777" w:rsidR="00546D83" w:rsidRPr="003E6F53" w:rsidRDefault="00546D83"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The (positive) income of a CFC is attributed to a Lithuanian controlling party on a pro rata basis.</w:t>
            </w:r>
          </w:p>
          <w:p w14:paraId="378D7FCF" w14:textId="77777777" w:rsidR="00546D83" w:rsidRPr="003E6F53" w:rsidRDefault="00546D83"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4A6CF0A8" w14:textId="7453FCAA" w:rsidR="00546D83" w:rsidRPr="003E6F53" w:rsidRDefault="00546D83"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A mixed approach is used in determining the scope of the CFC regime</w:t>
            </w:r>
            <w:r w:rsidR="00897707" w:rsidRPr="003E6F53">
              <w:rPr>
                <w:rFonts w:cs="Arial"/>
                <w:color w:val="auto"/>
                <w:sz w:val="16"/>
                <w:szCs w:val="16"/>
                <w:lang w:val="en-GB" w:eastAsia="da-DK"/>
              </w:rPr>
              <w:t>, i.e. location and business form of a controlled entity are relevant</w:t>
            </w:r>
            <w:r w:rsidRPr="003E6F53">
              <w:rPr>
                <w:rFonts w:cs="Arial"/>
                <w:color w:val="auto"/>
                <w:sz w:val="16"/>
                <w:szCs w:val="16"/>
                <w:lang w:val="en-GB" w:eastAsia="da-DK"/>
              </w:rPr>
              <w:t>. Positive income is attributed to the Lithuanian controlling party if:</w:t>
            </w:r>
          </w:p>
          <w:p w14:paraId="77508CE0" w14:textId="0FE953F4" w:rsidR="00546D83" w:rsidRPr="003E6F53" w:rsidRDefault="00897707" w:rsidP="00897707">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the CFC is registered in a “white listed” country but enjoys a special privileged income tax regime;</w:t>
            </w:r>
          </w:p>
          <w:p w14:paraId="0546687F" w14:textId="2D27A084" w:rsidR="00897707" w:rsidRPr="003E6F53" w:rsidRDefault="00897707" w:rsidP="00897707">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the CFC is registered in a “black listed” country (irrespective of its business form);</w:t>
            </w:r>
          </w:p>
          <w:p w14:paraId="6445A864" w14:textId="73C58C9F" w:rsidR="00897707" w:rsidRPr="003E6F53" w:rsidRDefault="00897707" w:rsidP="00897707">
            <w:pPr>
              <w:numPr>
                <w:ilvl w:val="0"/>
                <w:numId w:val="31"/>
              </w:num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 xml:space="preserve">the CFC is registered in a country other than </w:t>
            </w:r>
            <w:r w:rsidR="00911AB9" w:rsidRPr="003E6F53">
              <w:rPr>
                <w:rFonts w:cs="Arial"/>
                <w:color w:val="auto"/>
                <w:sz w:val="16"/>
                <w:szCs w:val="16"/>
                <w:lang w:val="en-GB" w:eastAsia="da-DK"/>
              </w:rPr>
              <w:t xml:space="preserve">“white listed” and “black listed”, but is subject to a tax at a rate </w:t>
            </w:r>
            <w:r w:rsidR="004321A3" w:rsidRPr="003E6F53">
              <w:rPr>
                <w:rFonts w:cs="Arial"/>
                <w:color w:val="auto"/>
                <w:sz w:val="16"/>
                <w:szCs w:val="16"/>
                <w:lang w:val="en-GB" w:eastAsia="da-DK"/>
              </w:rPr>
              <w:t>less than 75% of CIT.</w:t>
            </w:r>
          </w:p>
          <w:p w14:paraId="47BB16A6" w14:textId="77777777" w:rsidR="00546D83" w:rsidRPr="003E6F53" w:rsidRDefault="00546D83"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393D1705" w14:textId="354A0254" w:rsidR="003A5D2F" w:rsidRPr="003E6F53" w:rsidRDefault="006F4E2A" w:rsidP="00546D83">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3E6F53">
              <w:rPr>
                <w:rFonts w:cs="Arial"/>
                <w:color w:val="auto"/>
                <w:sz w:val="16"/>
                <w:szCs w:val="16"/>
                <w:lang w:val="en-GB" w:eastAsia="da-DK"/>
              </w:rPr>
              <w:t xml:space="preserve">CFC rule does not apply to active income of the CFC, provided that </w:t>
            </w:r>
            <w:r w:rsidR="00017CF9" w:rsidRPr="003E6F53">
              <w:rPr>
                <w:rFonts w:cs="Arial"/>
                <w:color w:val="auto"/>
                <w:sz w:val="16"/>
                <w:szCs w:val="16"/>
                <w:lang w:val="en-GB" w:eastAsia="da-DK"/>
              </w:rPr>
              <w:t xml:space="preserve">(i) </w:t>
            </w:r>
            <w:r w:rsidRPr="003E6F53">
              <w:rPr>
                <w:rFonts w:cs="Arial"/>
                <w:color w:val="auto"/>
                <w:sz w:val="16"/>
                <w:szCs w:val="16"/>
                <w:lang w:val="en-GB" w:eastAsia="da-DK"/>
              </w:rPr>
              <w:t xml:space="preserve">the CFC </w:t>
            </w:r>
            <w:r w:rsidR="00196FEB" w:rsidRPr="003E6F53">
              <w:rPr>
                <w:rFonts w:cs="Arial"/>
                <w:color w:val="auto"/>
                <w:sz w:val="16"/>
                <w:szCs w:val="16"/>
                <w:lang w:val="en-GB" w:eastAsia="da-DK"/>
              </w:rPr>
              <w:t xml:space="preserve">has </w:t>
            </w:r>
            <w:r w:rsidR="00971B4C" w:rsidRPr="003E6F53">
              <w:rPr>
                <w:rFonts w:cs="Arial"/>
                <w:color w:val="auto"/>
                <w:sz w:val="16"/>
                <w:szCs w:val="16"/>
                <w:lang w:val="en-GB" w:eastAsia="da-DK"/>
              </w:rPr>
              <w:t>the sufficient amount of employees needed to carry out respective activities</w:t>
            </w:r>
            <w:r w:rsidR="00017CF9" w:rsidRPr="003E6F53">
              <w:rPr>
                <w:rFonts w:cs="Arial"/>
                <w:color w:val="auto"/>
                <w:sz w:val="16"/>
                <w:szCs w:val="16"/>
                <w:lang w:val="en-GB" w:eastAsia="da-DK"/>
              </w:rPr>
              <w:t>,</w:t>
            </w:r>
            <w:r w:rsidR="00971B4C" w:rsidRPr="003E6F53">
              <w:rPr>
                <w:rFonts w:cs="Arial"/>
                <w:color w:val="auto"/>
                <w:sz w:val="16"/>
                <w:szCs w:val="16"/>
                <w:lang w:val="en-GB" w:eastAsia="da-DK"/>
              </w:rPr>
              <w:t xml:space="preserve"> and </w:t>
            </w:r>
            <w:r w:rsidR="00017CF9" w:rsidRPr="003E6F53">
              <w:rPr>
                <w:rFonts w:cs="Arial"/>
                <w:color w:val="auto"/>
                <w:sz w:val="16"/>
                <w:szCs w:val="16"/>
                <w:lang w:val="en-GB" w:eastAsia="da-DK"/>
              </w:rPr>
              <w:t xml:space="preserve">(ii) </w:t>
            </w:r>
            <w:r w:rsidR="00971B4C" w:rsidRPr="003E6F53">
              <w:rPr>
                <w:rFonts w:cs="Arial"/>
                <w:color w:val="auto"/>
                <w:sz w:val="16"/>
                <w:szCs w:val="16"/>
                <w:lang w:val="en-GB" w:eastAsia="da-DK"/>
              </w:rPr>
              <w:t>not more than 10% of income is earned from a country other than the country of establishment of the CFC</w:t>
            </w:r>
            <w:r w:rsidR="00017CF9" w:rsidRPr="003E6F53">
              <w:rPr>
                <w:rFonts w:cs="Arial"/>
                <w:color w:val="auto"/>
                <w:sz w:val="16"/>
                <w:szCs w:val="16"/>
                <w:lang w:val="en-GB" w:eastAsia="da-DK"/>
              </w:rPr>
              <w:t xml:space="preserve">, and (iii) </w:t>
            </w:r>
            <w:r w:rsidR="00A652E2" w:rsidRPr="003E6F53">
              <w:rPr>
                <w:rFonts w:cs="Arial"/>
                <w:color w:val="auto"/>
                <w:sz w:val="16"/>
                <w:szCs w:val="16"/>
                <w:lang w:val="en-GB" w:eastAsia="da-DK"/>
              </w:rPr>
              <w:t>more than 50% of income is earned from transactions with independent (non-related) parties</w:t>
            </w:r>
            <w:r w:rsidR="00971B4C" w:rsidRPr="003E6F53">
              <w:rPr>
                <w:rFonts w:cs="Arial"/>
                <w:color w:val="auto"/>
                <w:sz w:val="16"/>
                <w:szCs w:val="16"/>
                <w:lang w:val="en-GB" w:eastAsia="da-DK"/>
              </w:rPr>
              <w:t>.</w:t>
            </w:r>
          </w:p>
          <w:p w14:paraId="10CB98EA" w14:textId="2DBDD186" w:rsidR="00546D83" w:rsidRPr="003E6F53" w:rsidRDefault="004321A3" w:rsidP="00824E4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Furthermore, if dividends are distributed from income included into the controlling entity’s income </w:t>
            </w:r>
            <w:r w:rsidR="00824E4F" w:rsidRPr="003E6F53">
              <w:rPr>
                <w:color w:val="auto"/>
                <w:sz w:val="16"/>
                <w:szCs w:val="16"/>
                <w:lang w:val="en-GB"/>
              </w:rPr>
              <w:t xml:space="preserve">under the CFC rule, the dividends are </w:t>
            </w:r>
            <w:r w:rsidR="00824E4F" w:rsidRPr="003E6F53">
              <w:rPr>
                <w:color w:val="auto"/>
                <w:sz w:val="16"/>
                <w:szCs w:val="16"/>
                <w:lang w:val="en-GB"/>
              </w:rPr>
              <w:lastRenderedPageBreak/>
              <w:t>exempt from CIT in Lithuania.</w:t>
            </w:r>
          </w:p>
        </w:tc>
      </w:tr>
      <w:tr w:rsidR="00546D83" w:rsidRPr="003E6F53"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5F59E642" w:rsidR="00546D83" w:rsidRPr="003E6F53" w:rsidRDefault="00546D83" w:rsidP="009E71C6">
            <w:pPr>
              <w:pStyle w:val="ListNumber"/>
              <w:tabs>
                <w:tab w:val="clear" w:pos="284"/>
              </w:tabs>
              <w:ind w:left="340" w:hanging="340"/>
              <w:jc w:val="left"/>
              <w:rPr>
                <w:b w:val="0"/>
                <w:sz w:val="16"/>
                <w:szCs w:val="16"/>
                <w:lang w:val="en-GB"/>
              </w:rPr>
            </w:pPr>
            <w:r w:rsidRPr="003E6F53">
              <w:rPr>
                <w:b w:val="0"/>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14:paraId="332E676B" w14:textId="77777777" w:rsidR="00546D83" w:rsidRPr="003E6F53" w:rsidRDefault="001317F2" w:rsidP="002775B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No 1 </w:t>
            </w:r>
            <w:r w:rsidR="002775BA" w:rsidRPr="003E6F53">
              <w:rPr>
                <w:color w:val="auto"/>
                <w:sz w:val="16"/>
                <w:szCs w:val="16"/>
                <w:lang w:val="en-GB"/>
              </w:rPr>
              <w:t>–</w:t>
            </w:r>
            <w:r w:rsidRPr="003E6F53">
              <w:rPr>
                <w:color w:val="auto"/>
                <w:sz w:val="16"/>
                <w:szCs w:val="16"/>
                <w:lang w:val="en-GB"/>
              </w:rPr>
              <w:t xml:space="preserve"> </w:t>
            </w:r>
            <w:r w:rsidR="002775BA" w:rsidRPr="003E6F53">
              <w:rPr>
                <w:color w:val="auto"/>
                <w:sz w:val="16"/>
                <w:szCs w:val="16"/>
                <w:lang w:val="en-GB"/>
              </w:rPr>
              <w:t>yes, CFC rule would apply (presuming the Offshore Co meets the criteria indicated in Section 35)</w:t>
            </w:r>
          </w:p>
          <w:p w14:paraId="185EC5F3" w14:textId="69E52136" w:rsidR="002775BA" w:rsidRPr="003E6F53" w:rsidRDefault="002775BA" w:rsidP="002775B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No 2 </w:t>
            </w:r>
            <w:r w:rsidR="009422E0" w:rsidRPr="003E6F53">
              <w:rPr>
                <w:color w:val="auto"/>
                <w:sz w:val="16"/>
                <w:szCs w:val="16"/>
                <w:lang w:val="en-GB"/>
              </w:rPr>
              <w:t>–</w:t>
            </w:r>
            <w:r w:rsidRPr="003E6F53">
              <w:rPr>
                <w:color w:val="auto"/>
                <w:sz w:val="16"/>
                <w:szCs w:val="16"/>
                <w:lang w:val="en-GB"/>
              </w:rPr>
              <w:t xml:space="preserve"> </w:t>
            </w:r>
            <w:r w:rsidR="009422E0" w:rsidRPr="003E6F53">
              <w:rPr>
                <w:color w:val="auto"/>
                <w:sz w:val="16"/>
                <w:szCs w:val="16"/>
                <w:lang w:val="en-GB"/>
              </w:rPr>
              <w:t xml:space="preserve">yes, CFC rule would apply (presuming the B Holdco </w:t>
            </w:r>
            <w:r w:rsidR="0066504A" w:rsidRPr="003E6F53">
              <w:rPr>
                <w:color w:val="auto"/>
                <w:sz w:val="16"/>
                <w:szCs w:val="16"/>
                <w:lang w:val="en-GB"/>
              </w:rPr>
              <w:t>and C Holdco meet</w:t>
            </w:r>
            <w:r w:rsidR="009422E0" w:rsidRPr="003E6F53">
              <w:rPr>
                <w:color w:val="auto"/>
                <w:sz w:val="16"/>
                <w:szCs w:val="16"/>
                <w:lang w:val="en-GB"/>
              </w:rPr>
              <w:t xml:space="preserve"> the criteria indicated in Section 35).</w:t>
            </w:r>
            <w:r w:rsidR="00017CF9" w:rsidRPr="003E6F53">
              <w:rPr>
                <w:color w:val="auto"/>
                <w:sz w:val="16"/>
                <w:szCs w:val="16"/>
                <w:lang w:val="en-GB"/>
              </w:rPr>
              <w:t xml:space="preserve"> Dividends </w:t>
            </w:r>
            <w:r w:rsidR="00206ADD" w:rsidRPr="003E6F53">
              <w:rPr>
                <w:color w:val="auto"/>
                <w:sz w:val="16"/>
                <w:szCs w:val="16"/>
                <w:lang w:val="en-GB"/>
              </w:rPr>
              <w:t xml:space="preserve">subsequently </w:t>
            </w:r>
            <w:r w:rsidR="00017CF9" w:rsidRPr="003E6F53">
              <w:rPr>
                <w:color w:val="auto"/>
                <w:sz w:val="16"/>
                <w:szCs w:val="16"/>
                <w:lang w:val="en-GB"/>
              </w:rPr>
              <w:t xml:space="preserve">distributed by B Holdco would be exempt from </w:t>
            </w:r>
            <w:r w:rsidR="00206ADD" w:rsidRPr="003E6F53">
              <w:rPr>
                <w:color w:val="auto"/>
                <w:sz w:val="16"/>
                <w:szCs w:val="16"/>
                <w:lang w:val="en-GB"/>
              </w:rPr>
              <w:t>tax to the extent they do not exceed income included into MNE’s income under the CFC rule.</w:t>
            </w:r>
          </w:p>
          <w:p w14:paraId="18773E66" w14:textId="4A5C295A" w:rsidR="009422E0" w:rsidRPr="003E6F53" w:rsidRDefault="009422E0" w:rsidP="004F11A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No 4 - </w:t>
            </w:r>
            <w:r w:rsidR="00541308" w:rsidRPr="003E6F53">
              <w:rPr>
                <w:color w:val="auto"/>
                <w:sz w:val="16"/>
                <w:szCs w:val="16"/>
                <w:lang w:val="en-GB"/>
              </w:rPr>
              <w:t>yes, CFC rule would apply (presuming FinanceCo B</w:t>
            </w:r>
            <w:r w:rsidR="0087542C" w:rsidRPr="003E6F53">
              <w:rPr>
                <w:color w:val="auto"/>
                <w:sz w:val="16"/>
                <w:szCs w:val="16"/>
                <w:lang w:val="en-GB"/>
              </w:rPr>
              <w:t xml:space="preserve"> and</w:t>
            </w:r>
            <w:r w:rsidR="00541308" w:rsidRPr="003E6F53">
              <w:rPr>
                <w:color w:val="auto"/>
                <w:sz w:val="16"/>
                <w:szCs w:val="16"/>
                <w:lang w:val="en-GB"/>
              </w:rPr>
              <w:t xml:space="preserve"> FinanceCo D meet the criteria indicated in Section 35)</w:t>
            </w:r>
            <w:r w:rsidR="0087542C" w:rsidRPr="003E6F53">
              <w:rPr>
                <w:color w:val="auto"/>
                <w:sz w:val="16"/>
                <w:szCs w:val="16"/>
                <w:lang w:val="en-GB"/>
              </w:rPr>
              <w:t xml:space="preserve">. OpCo’s active income </w:t>
            </w:r>
            <w:r w:rsidR="00BC5753" w:rsidRPr="003E6F53">
              <w:rPr>
                <w:color w:val="auto"/>
                <w:sz w:val="16"/>
                <w:szCs w:val="16"/>
                <w:lang w:val="en-GB"/>
              </w:rPr>
              <w:t>would likely not be subject to CFC rule.</w:t>
            </w:r>
          </w:p>
          <w:p w14:paraId="6326AE6C" w14:textId="61296A7D" w:rsidR="004F11AF" w:rsidRPr="003E6F53" w:rsidRDefault="004F11AF" w:rsidP="004F11A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No 5 </w:t>
            </w:r>
            <w:r w:rsidR="008A25CA" w:rsidRPr="003E6F53">
              <w:rPr>
                <w:color w:val="auto"/>
                <w:sz w:val="16"/>
                <w:szCs w:val="16"/>
                <w:lang w:val="en-GB"/>
              </w:rPr>
              <w:t>–</w:t>
            </w:r>
            <w:r w:rsidRPr="003E6F53">
              <w:rPr>
                <w:color w:val="auto"/>
                <w:sz w:val="16"/>
                <w:szCs w:val="16"/>
                <w:lang w:val="en-GB"/>
              </w:rPr>
              <w:t xml:space="preserve"> </w:t>
            </w:r>
            <w:r w:rsidR="008A25CA" w:rsidRPr="003E6F53">
              <w:rPr>
                <w:color w:val="auto"/>
                <w:sz w:val="16"/>
                <w:szCs w:val="16"/>
                <w:lang w:val="en-GB"/>
              </w:rPr>
              <w:t xml:space="preserve">yes, </w:t>
            </w:r>
            <w:r w:rsidRPr="003E6F53">
              <w:rPr>
                <w:color w:val="auto"/>
                <w:sz w:val="16"/>
                <w:szCs w:val="16"/>
                <w:lang w:val="en-GB"/>
              </w:rPr>
              <w:t xml:space="preserve">CFC rule would </w:t>
            </w:r>
            <w:r w:rsidR="00BE4846" w:rsidRPr="003E6F53">
              <w:rPr>
                <w:color w:val="auto"/>
                <w:sz w:val="16"/>
                <w:szCs w:val="16"/>
                <w:lang w:val="en-GB"/>
              </w:rPr>
              <w:t xml:space="preserve">likely </w:t>
            </w:r>
            <w:r w:rsidRPr="003E6F53">
              <w:rPr>
                <w:color w:val="auto"/>
                <w:sz w:val="16"/>
                <w:szCs w:val="16"/>
                <w:lang w:val="en-GB"/>
              </w:rPr>
              <w:t>apply for Company B.</w:t>
            </w:r>
          </w:p>
          <w:p w14:paraId="01BFB815" w14:textId="48D09F1D" w:rsidR="004F11AF" w:rsidRPr="003E6F53" w:rsidRDefault="004F11AF" w:rsidP="0087542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 xml:space="preserve">No 6 </w:t>
            </w:r>
            <w:r w:rsidR="008A25CA" w:rsidRPr="003E6F53">
              <w:rPr>
                <w:color w:val="auto"/>
                <w:sz w:val="16"/>
                <w:szCs w:val="16"/>
                <w:lang w:val="en-GB"/>
              </w:rPr>
              <w:t>–</w:t>
            </w:r>
            <w:r w:rsidRPr="003E6F53">
              <w:rPr>
                <w:color w:val="auto"/>
                <w:sz w:val="16"/>
                <w:szCs w:val="16"/>
                <w:lang w:val="en-GB"/>
              </w:rPr>
              <w:t xml:space="preserve"> </w:t>
            </w:r>
            <w:r w:rsidR="008A25CA" w:rsidRPr="003E6F53">
              <w:rPr>
                <w:color w:val="auto"/>
                <w:sz w:val="16"/>
                <w:szCs w:val="16"/>
                <w:lang w:val="en-GB"/>
              </w:rPr>
              <w:t>yes, CFC rule would apply to Company B1,</w:t>
            </w:r>
            <w:r w:rsidR="0087542C" w:rsidRPr="003E6F53">
              <w:rPr>
                <w:color w:val="auto"/>
                <w:sz w:val="16"/>
                <w:szCs w:val="16"/>
                <w:lang w:val="en-GB"/>
              </w:rPr>
              <w:t xml:space="preserve"> Compa</w:t>
            </w:r>
            <w:r w:rsidR="005F3C37" w:rsidRPr="003E6F53">
              <w:rPr>
                <w:color w:val="auto"/>
                <w:sz w:val="16"/>
                <w:szCs w:val="16"/>
                <w:lang w:val="en-GB"/>
              </w:rPr>
              <w:t>n</w:t>
            </w:r>
            <w:r w:rsidR="0087542C" w:rsidRPr="003E6F53">
              <w:rPr>
                <w:color w:val="auto"/>
                <w:sz w:val="16"/>
                <w:szCs w:val="16"/>
                <w:lang w:val="en-GB"/>
              </w:rPr>
              <w:t>y B2 and</w:t>
            </w:r>
            <w:r w:rsidR="008A25CA" w:rsidRPr="003E6F53">
              <w:rPr>
                <w:color w:val="auto"/>
                <w:sz w:val="16"/>
                <w:szCs w:val="16"/>
                <w:lang w:val="en-GB"/>
              </w:rPr>
              <w:t xml:space="preserve"> Company D (presuming the Offshore Co meets the criteria indicated in Section 35)</w:t>
            </w:r>
            <w:r w:rsidR="0087542C" w:rsidRPr="003E6F53">
              <w:rPr>
                <w:color w:val="auto"/>
                <w:sz w:val="16"/>
                <w:szCs w:val="16"/>
                <w:lang w:val="en-GB"/>
              </w:rPr>
              <w:t>. OpCo‘s active income would likely not be subject to CFC rule.</w:t>
            </w:r>
          </w:p>
        </w:tc>
      </w:tr>
      <w:tr w:rsidR="00546D83" w:rsidRPr="003E6F53"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06DCABE9" w:rsidR="00546D83" w:rsidRPr="003E6F53" w:rsidRDefault="00546D83" w:rsidP="00427661">
            <w:pPr>
              <w:rPr>
                <w:lang w:val="en-GB"/>
              </w:rPr>
            </w:pPr>
            <w:r w:rsidRPr="003E6F53">
              <w:rPr>
                <w:i/>
                <w:sz w:val="16"/>
                <w:szCs w:val="16"/>
                <w:lang w:val="en-GB"/>
              </w:rPr>
              <w:t>Mismatch in qualification of legal entities</w:t>
            </w:r>
          </w:p>
        </w:tc>
      </w:tr>
      <w:tr w:rsidR="00546D83" w:rsidRPr="003E6F53"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546D83" w:rsidRPr="003E6F53" w:rsidRDefault="00546D83" w:rsidP="009E71C6">
            <w:pPr>
              <w:pStyle w:val="ListNumber"/>
              <w:tabs>
                <w:tab w:val="clear" w:pos="284"/>
              </w:tabs>
              <w:ind w:left="340" w:hanging="340"/>
              <w:jc w:val="left"/>
              <w:rPr>
                <w:b w:val="0"/>
                <w:i/>
                <w:sz w:val="16"/>
                <w:szCs w:val="16"/>
                <w:lang w:val="en-GB"/>
              </w:rPr>
            </w:pPr>
            <w:r w:rsidRPr="003E6F53">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44D82" w14:textId="4C563502" w:rsidR="00546D83" w:rsidRPr="003E6F53" w:rsidRDefault="003A744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Lithuania applies its own criteria.</w:t>
            </w:r>
          </w:p>
        </w:tc>
      </w:tr>
      <w:tr w:rsidR="00546D83" w:rsidRPr="003E6F53"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546D83" w:rsidRPr="003E6F53" w:rsidRDefault="00546D83" w:rsidP="009E71C6">
            <w:pPr>
              <w:pStyle w:val="ListNumber"/>
              <w:tabs>
                <w:tab w:val="clear" w:pos="284"/>
              </w:tabs>
              <w:ind w:left="340" w:hanging="340"/>
              <w:jc w:val="left"/>
              <w:rPr>
                <w:b w:val="0"/>
                <w:sz w:val="16"/>
                <w:szCs w:val="16"/>
                <w:lang w:val="en-GB"/>
              </w:rPr>
            </w:pPr>
            <w:r w:rsidRPr="003E6F53">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223C7282" w:rsidR="00546D83" w:rsidRPr="003E6F53" w:rsidRDefault="003A744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546D83" w:rsidRPr="003E6F53" w:rsidRDefault="00546D83" w:rsidP="009E71C6">
            <w:pPr>
              <w:pStyle w:val="ListNumber"/>
              <w:tabs>
                <w:tab w:val="clear" w:pos="284"/>
              </w:tabs>
              <w:ind w:left="340" w:hanging="340"/>
              <w:jc w:val="left"/>
              <w:rPr>
                <w:b w:val="0"/>
                <w:sz w:val="16"/>
                <w:szCs w:val="16"/>
                <w:lang w:val="en-GB"/>
              </w:rPr>
            </w:pPr>
            <w:r w:rsidRPr="003E6F53">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0401A478" w:rsidR="00546D83" w:rsidRPr="003E6F53" w:rsidRDefault="003A744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546D83" w:rsidRPr="003E6F53" w:rsidRDefault="00546D83" w:rsidP="00427661">
            <w:pPr>
              <w:rPr>
                <w:lang w:val="en-GB"/>
              </w:rPr>
            </w:pPr>
            <w:r w:rsidRPr="003E6F53">
              <w:rPr>
                <w:i/>
                <w:sz w:val="16"/>
                <w:szCs w:val="16"/>
                <w:lang w:val="en-GB"/>
              </w:rPr>
              <w:t>Tax residence of company</w:t>
            </w:r>
          </w:p>
        </w:tc>
      </w:tr>
      <w:tr w:rsidR="00546D83" w:rsidRPr="003E6F53"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546D83" w:rsidRPr="003E6F53" w:rsidRDefault="00546D83" w:rsidP="00CD34C0">
            <w:pPr>
              <w:pStyle w:val="ListNumber"/>
              <w:tabs>
                <w:tab w:val="clear" w:pos="284"/>
              </w:tabs>
              <w:ind w:left="340" w:hanging="340"/>
              <w:jc w:val="left"/>
              <w:rPr>
                <w:b w:val="0"/>
                <w:i/>
                <w:sz w:val="16"/>
                <w:szCs w:val="16"/>
                <w:lang w:val="en-GB"/>
              </w:rPr>
            </w:pPr>
            <w:r w:rsidRPr="003E6F53">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4E0F4EC2" w:rsidR="00546D83" w:rsidRPr="003E6F53" w:rsidRDefault="003A744F"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546D83" w:rsidRPr="003E6F53" w:rsidRDefault="00546D83" w:rsidP="005756EF">
            <w:pPr>
              <w:pStyle w:val="ListNumber"/>
              <w:tabs>
                <w:tab w:val="clear" w:pos="284"/>
              </w:tabs>
              <w:ind w:left="340" w:hanging="340"/>
              <w:jc w:val="left"/>
              <w:rPr>
                <w:b w:val="0"/>
                <w:sz w:val="16"/>
                <w:szCs w:val="16"/>
                <w:lang w:val="en-GB"/>
              </w:rPr>
            </w:pPr>
            <w:r w:rsidRPr="003E6F53">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3C4D4709" w:rsidR="00546D83" w:rsidRPr="003E6F53" w:rsidRDefault="003A744F"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N/A</w:t>
            </w:r>
          </w:p>
        </w:tc>
      </w:tr>
      <w:tr w:rsidR="00546D83" w:rsidRPr="003E6F53"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546D83" w:rsidRPr="003E6F53" w:rsidRDefault="00546D83" w:rsidP="00427661">
            <w:pPr>
              <w:rPr>
                <w:lang w:val="en-GB"/>
              </w:rPr>
            </w:pPr>
            <w:r w:rsidRPr="003E6F53">
              <w:rPr>
                <w:i/>
                <w:sz w:val="16"/>
                <w:szCs w:val="16"/>
                <w:lang w:val="en-GB"/>
              </w:rPr>
              <w:t>Tax ruling practices</w:t>
            </w:r>
          </w:p>
        </w:tc>
      </w:tr>
      <w:tr w:rsidR="00546D83" w:rsidRPr="003E6F53"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546D83" w:rsidRPr="003E6F53" w:rsidRDefault="00546D83" w:rsidP="00B94C91">
            <w:pPr>
              <w:pStyle w:val="ListNumber"/>
              <w:tabs>
                <w:tab w:val="clear" w:pos="284"/>
              </w:tabs>
              <w:ind w:left="340" w:hanging="340"/>
              <w:jc w:val="left"/>
              <w:rPr>
                <w:b w:val="0"/>
                <w:i/>
                <w:sz w:val="16"/>
                <w:szCs w:val="16"/>
                <w:lang w:val="en-GB"/>
              </w:rPr>
            </w:pPr>
            <w:r w:rsidRPr="003E6F53">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4A71EC1E" w14:textId="32636D8B" w:rsidR="00546D83" w:rsidRPr="003E6F53" w:rsidRDefault="0058501D"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r w:rsidR="00546D83" w:rsidRPr="003E6F53"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546D83" w:rsidRPr="003E6F53" w:rsidRDefault="00546D83" w:rsidP="00CD34C0">
            <w:pPr>
              <w:pStyle w:val="ListNumber"/>
              <w:tabs>
                <w:tab w:val="clear" w:pos="284"/>
              </w:tabs>
              <w:ind w:left="340" w:hanging="340"/>
              <w:jc w:val="left"/>
              <w:rPr>
                <w:b w:val="0"/>
                <w:sz w:val="16"/>
                <w:szCs w:val="16"/>
                <w:lang w:val="en-GB"/>
              </w:rPr>
            </w:pPr>
            <w:r w:rsidRPr="003E6F53">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6ABEE95" w14:textId="293D0312" w:rsidR="00546D83" w:rsidRPr="003E6F53" w:rsidRDefault="0058501D"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E6F53">
              <w:rPr>
                <w:color w:val="auto"/>
                <w:sz w:val="16"/>
                <w:szCs w:val="16"/>
                <w:lang w:val="en-GB"/>
              </w:rPr>
              <w:t>Yes, provided that the income assessment is in accordance with the OECD’s arm’s length principle.</w:t>
            </w:r>
          </w:p>
        </w:tc>
      </w:tr>
      <w:tr w:rsidR="00546D83" w:rsidRPr="003E6F53"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546D83" w:rsidRPr="003E6F53" w:rsidRDefault="00546D83" w:rsidP="00D67218">
            <w:pPr>
              <w:pStyle w:val="ListNumber"/>
              <w:tabs>
                <w:tab w:val="clear" w:pos="284"/>
              </w:tabs>
              <w:ind w:left="340" w:hanging="340"/>
              <w:jc w:val="left"/>
              <w:rPr>
                <w:b w:val="0"/>
                <w:sz w:val="16"/>
                <w:szCs w:val="16"/>
                <w:lang w:val="en-GB"/>
              </w:rPr>
            </w:pPr>
            <w:r w:rsidRPr="003E6F53">
              <w:rPr>
                <w:b w:val="0"/>
                <w:sz w:val="16"/>
                <w:szCs w:val="16"/>
                <w:lang w:val="en-GB"/>
              </w:rPr>
              <w:t xml:space="preserve">Can a company in your MS obtain a ruling or APA that a) provides for tax exemption of profits considered to exceed an arm’s length-income or considered to have </w:t>
            </w:r>
            <w:r w:rsidRPr="003E6F53">
              <w:rPr>
                <w:b w:val="0"/>
                <w:sz w:val="16"/>
                <w:szCs w:val="16"/>
                <w:lang w:val="en-GB"/>
              </w:rPr>
              <w:lastRenderedPageBreak/>
              <w:t>been left to the company by its shareholders (capital contribution), or b) provides for the deduction of deemed expenses that would have been due under arm-‘s length conditions?</w:t>
            </w:r>
          </w:p>
          <w:p w14:paraId="69901716" w14:textId="77777777" w:rsidR="00546D83" w:rsidRPr="003E6F53" w:rsidRDefault="00546D83" w:rsidP="00D67218">
            <w:pPr>
              <w:pStyle w:val="ListNumber"/>
              <w:numPr>
                <w:ilvl w:val="0"/>
                <w:numId w:val="0"/>
              </w:numPr>
              <w:ind w:left="340"/>
              <w:jc w:val="left"/>
              <w:rPr>
                <w:b w:val="0"/>
                <w:sz w:val="16"/>
                <w:szCs w:val="16"/>
                <w:lang w:val="en-GB"/>
              </w:rPr>
            </w:pPr>
          </w:p>
        </w:tc>
        <w:tc>
          <w:tcPr>
            <w:tcW w:w="3933" w:type="dxa"/>
          </w:tcPr>
          <w:p w14:paraId="7FAE6EC9" w14:textId="77777777" w:rsidR="00546D83" w:rsidRPr="003E6F53" w:rsidRDefault="0095133C" w:rsidP="0095133C">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lastRenderedPageBreak/>
              <w:t>No</w:t>
            </w:r>
          </w:p>
          <w:p w14:paraId="57D292F6" w14:textId="610E2D8C" w:rsidR="0095133C" w:rsidRPr="003E6F53" w:rsidRDefault="0095133C" w:rsidP="0095133C">
            <w:pPr>
              <w:numPr>
                <w:ilvl w:val="0"/>
                <w:numId w:val="34"/>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Yes, but the deduction would be conditional on a corresponding </w:t>
            </w:r>
            <w:r w:rsidRPr="003E6F53">
              <w:rPr>
                <w:color w:val="auto"/>
                <w:sz w:val="16"/>
                <w:szCs w:val="16"/>
                <w:lang w:val="en-GB"/>
              </w:rPr>
              <w:lastRenderedPageBreak/>
              <w:t>adjustment in the other state.</w:t>
            </w:r>
          </w:p>
        </w:tc>
      </w:tr>
      <w:tr w:rsidR="00546D83" w:rsidRPr="003E6F53"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61DCFEE4" w:rsidR="00546D83" w:rsidRPr="003E6F53" w:rsidRDefault="00546D83" w:rsidP="00427661">
            <w:pPr>
              <w:rPr>
                <w:lang w:val="en-GB"/>
              </w:rPr>
            </w:pPr>
            <w:r w:rsidRPr="003E6F53">
              <w:rPr>
                <w:i/>
                <w:sz w:val="16"/>
                <w:szCs w:val="16"/>
                <w:lang w:val="en-GB"/>
              </w:rPr>
              <w:lastRenderedPageBreak/>
              <w:t>GAAR/SAAR</w:t>
            </w:r>
          </w:p>
        </w:tc>
      </w:tr>
      <w:tr w:rsidR="00546D83" w:rsidRPr="003E6F53"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546D83" w:rsidRPr="003E6F53" w:rsidRDefault="00546D83" w:rsidP="005756EF">
            <w:pPr>
              <w:pStyle w:val="ListNumber"/>
              <w:tabs>
                <w:tab w:val="clear" w:pos="284"/>
              </w:tabs>
              <w:ind w:left="340" w:hanging="340"/>
              <w:jc w:val="left"/>
              <w:rPr>
                <w:b w:val="0"/>
                <w:i/>
                <w:sz w:val="16"/>
                <w:szCs w:val="16"/>
                <w:lang w:val="en-GB"/>
              </w:rPr>
            </w:pPr>
            <w:r w:rsidRPr="003E6F53">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775E882D" w14:textId="287BEC41" w:rsidR="009F17B7" w:rsidRPr="003E6F53" w:rsidRDefault="009F17B7" w:rsidP="007769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09B24C2" w14:textId="46638FC3" w:rsidR="009F17B7" w:rsidRPr="003E6F53" w:rsidRDefault="009F17B7" w:rsidP="007769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 xml:space="preserve">The tax administrator is entitled to apply substance over form principle towards the inland or international ATP structures while assessing taxes. In accordance with this principle the tax administrator ignores the formal expression of the taxpayer’s activities and restores hidden or distorted circumstances related to taxation, assessing taxes accordingly. According to the statistical data of Tax authorities, the number of 25  cases containing the application of substance over form principle were solved during the first half of the calendar year 2015 and 43 cases during the year 2014. </w:t>
            </w:r>
          </w:p>
          <w:p w14:paraId="584AE58E" w14:textId="3972DF92" w:rsidR="009F17B7" w:rsidRPr="003E6F53" w:rsidRDefault="009F17B7" w:rsidP="007769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46D83" w:rsidRPr="003E6F53"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546D83" w:rsidRPr="003E6F53" w:rsidRDefault="00546D83" w:rsidP="00427661">
            <w:pPr>
              <w:rPr>
                <w:lang w:val="en-GB"/>
              </w:rPr>
            </w:pPr>
            <w:r w:rsidRPr="003E6F53">
              <w:rPr>
                <w:i/>
                <w:sz w:val="16"/>
                <w:szCs w:val="16"/>
                <w:lang w:val="en-GB"/>
              </w:rPr>
              <w:t>Other ATP indicators</w:t>
            </w:r>
          </w:p>
        </w:tc>
      </w:tr>
      <w:tr w:rsidR="00546D83" w:rsidRPr="003E6F53"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546D83" w:rsidRPr="003E6F53" w:rsidRDefault="00546D83" w:rsidP="005756EF">
            <w:pPr>
              <w:pStyle w:val="ListNumber"/>
              <w:tabs>
                <w:tab w:val="clear" w:pos="284"/>
              </w:tabs>
              <w:ind w:left="340" w:hanging="340"/>
              <w:jc w:val="left"/>
              <w:rPr>
                <w:b w:val="0"/>
                <w:i/>
                <w:sz w:val="16"/>
                <w:szCs w:val="16"/>
                <w:lang w:val="en-GB"/>
              </w:rPr>
            </w:pPr>
            <w:r w:rsidRPr="003E6F53">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7BFA0AAD" w:rsidR="00546D83" w:rsidRPr="003E6F53" w:rsidRDefault="00491FCF"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E6F53">
              <w:rPr>
                <w:color w:val="auto"/>
                <w:sz w:val="16"/>
                <w:szCs w:val="16"/>
                <w:lang w:val="en-GB"/>
              </w:rPr>
              <w:t>No.</w:t>
            </w:r>
          </w:p>
        </w:tc>
      </w:tr>
    </w:tbl>
    <w:p w14:paraId="56910FE6" w14:textId="77777777" w:rsidR="00FA55B1" w:rsidRPr="003E6F53" w:rsidRDefault="00FA55B1" w:rsidP="00BC2E2B"/>
    <w:sectPr w:rsidR="00FA55B1" w:rsidRPr="003E6F53"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13F9E" w14:textId="77777777" w:rsidR="005229D9" w:rsidRPr="006A1DAA" w:rsidRDefault="005229D9">
      <w:r w:rsidRPr="006A1DAA">
        <w:separator/>
      </w:r>
    </w:p>
  </w:endnote>
  <w:endnote w:type="continuationSeparator" w:id="0">
    <w:p w14:paraId="4205A012" w14:textId="77777777" w:rsidR="005229D9" w:rsidRPr="006A1DAA" w:rsidRDefault="005229D9">
      <w:r w:rsidRPr="006A1DAA">
        <w:continuationSeparator/>
      </w:r>
    </w:p>
  </w:endnote>
  <w:endnote w:type="continuationNotice" w:id="1">
    <w:p w14:paraId="1B54AF8D" w14:textId="77777777" w:rsidR="005229D9" w:rsidRDefault="00522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427661" w:rsidRPr="006A1DAA" w:rsidRDefault="0042766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2A538A">
      <w:rPr>
        <w:rStyle w:val="PageNumber"/>
        <w:noProof/>
      </w:rPr>
      <w:t>11</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427661" w:rsidRDefault="005229D9"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427661" w:rsidRPr="00DB5B81">
      <w:rPr>
        <w:color w:val="FFFFFF"/>
      </w:rPr>
      <w:t>mmm</w:t>
    </w:r>
    <w:r w:rsidR="00427661">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9795A" w14:textId="77777777" w:rsidR="005229D9" w:rsidRPr="006A1DAA" w:rsidRDefault="005229D9">
      <w:r w:rsidRPr="006A1DAA">
        <w:separator/>
      </w:r>
    </w:p>
  </w:footnote>
  <w:footnote w:type="continuationSeparator" w:id="0">
    <w:p w14:paraId="4BA7648B" w14:textId="77777777" w:rsidR="005229D9" w:rsidRPr="006A1DAA" w:rsidRDefault="005229D9">
      <w:r w:rsidRPr="006A1DAA">
        <w:continuationSeparator/>
      </w:r>
    </w:p>
  </w:footnote>
  <w:footnote w:type="continuationNotice" w:id="1">
    <w:p w14:paraId="0B3AE823" w14:textId="77777777" w:rsidR="005229D9" w:rsidRDefault="005229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52FE63E3"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044ACB91" w14:textId="391F0065" w:rsidR="00427661" w:rsidRPr="00BD2FBC" w:rsidRDefault="005229D9"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427661" w:rsidRPr="00B04590">
      <w:rPr>
        <w:rStyle w:val="HeaderChar"/>
      </w:rPr>
      <w:t xml:space="preserve"> </w:t>
    </w:r>
    <w:r w:rsidR="00427661">
      <w:rPr>
        <w:rStyle w:val="HeaderChar"/>
      </w:rPr>
      <w:t xml:space="preserve">Questionnaire </w:t>
    </w:r>
    <w:r w:rsidR="00A06EB3">
      <w:rPr>
        <w:rStyle w:val="HeaderChar"/>
      </w:rPr>
      <w:t xml:space="preserve">- </w:t>
    </w:r>
    <w:r w:rsidR="00546D83">
      <w:rPr>
        <w:rStyle w:val="HeaderChar"/>
      </w:rPr>
      <w:t>Lithuania</w:t>
    </w:r>
  </w:p>
  <w:p w14:paraId="447033D2" w14:textId="77777777"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427661" w:rsidRDefault="005229D9"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2A538A">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93.3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427661" w:rsidRDefault="005229D9"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92870B3"/>
    <w:multiLevelType w:val="hybridMultilevel"/>
    <w:tmpl w:val="239EE7C4"/>
    <w:lvl w:ilvl="0" w:tplc="C412A284">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5F843F2"/>
    <w:multiLevelType w:val="hybridMultilevel"/>
    <w:tmpl w:val="B8CC11A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9">
    <w:nsid w:val="32227590"/>
    <w:multiLevelType w:val="hybridMultilevel"/>
    <w:tmpl w:val="0C602022"/>
    <w:lvl w:ilvl="0" w:tplc="A1805554">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1">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2">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F8C7AAF"/>
    <w:multiLevelType w:val="hybridMultilevel"/>
    <w:tmpl w:val="8B027784"/>
    <w:lvl w:ilvl="0" w:tplc="979A8882">
      <w:start w:val="2"/>
      <w:numFmt w:val="bullet"/>
      <w:lvlText w:val="-"/>
      <w:lvlJc w:val="left"/>
      <w:pPr>
        <w:ind w:left="720" w:hanging="360"/>
      </w:pPr>
      <w:rPr>
        <w:rFonts w:ascii="ArialMT" w:eastAsiaTheme="minorHAnsi" w:hAnsi="ArialMT" w:cs="ArialMT"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6">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8">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2"/>
  </w:num>
  <w:num w:numId="7">
    <w:abstractNumId w:val="10"/>
  </w:num>
  <w:num w:numId="8">
    <w:abstractNumId w:val="22"/>
  </w:num>
  <w:num w:numId="9">
    <w:abstractNumId w:val="24"/>
  </w:num>
  <w:num w:numId="10">
    <w:abstractNumId w:val="14"/>
  </w:num>
  <w:num w:numId="11">
    <w:abstractNumId w:val="8"/>
  </w:num>
  <w:num w:numId="12">
    <w:abstractNumId w:val="32"/>
  </w:num>
  <w:num w:numId="13">
    <w:abstractNumId w:val="6"/>
  </w:num>
  <w:num w:numId="14">
    <w:abstractNumId w:val="20"/>
  </w:num>
  <w:num w:numId="15">
    <w:abstractNumId w:val="28"/>
  </w:num>
  <w:num w:numId="16">
    <w:abstractNumId w:val="27"/>
  </w:num>
  <w:num w:numId="17">
    <w:abstractNumId w:val="21"/>
  </w:num>
  <w:num w:numId="18">
    <w:abstractNumId w:val="18"/>
  </w:num>
  <w:num w:numId="19">
    <w:abstractNumId w:val="4"/>
  </w:num>
  <w:num w:numId="20">
    <w:abstractNumId w:val="30"/>
  </w:num>
  <w:num w:numId="21">
    <w:abstractNumId w:val="9"/>
  </w:num>
  <w:num w:numId="22">
    <w:abstractNumId w:val="11"/>
  </w:num>
  <w:num w:numId="23">
    <w:abstractNumId w:val="25"/>
  </w:num>
  <w:num w:numId="24">
    <w:abstractNumId w:val="17"/>
  </w:num>
  <w:num w:numId="25">
    <w:abstractNumId w:val="29"/>
  </w:num>
  <w:num w:numId="26">
    <w:abstractNumId w:val="16"/>
  </w:num>
  <w:num w:numId="27">
    <w:abstractNumId w:val="13"/>
  </w:num>
  <w:num w:numId="28">
    <w:abstractNumId w:val="31"/>
  </w:num>
  <w:num w:numId="29">
    <w:abstractNumId w:val="26"/>
  </w:num>
  <w:num w:numId="30">
    <w:abstractNumId w:val="4"/>
  </w:num>
  <w:num w:numId="31">
    <w:abstractNumId w:val="23"/>
  </w:num>
  <w:num w:numId="32">
    <w:abstractNumId w:val="19"/>
  </w:num>
  <w:num w:numId="33">
    <w:abstractNumId w:val="7"/>
  </w:num>
  <w:num w:numId="34">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089E"/>
    <w:rsid w:val="000011F8"/>
    <w:rsid w:val="00001C97"/>
    <w:rsid w:val="00002AB0"/>
    <w:rsid w:val="00002FFA"/>
    <w:rsid w:val="000034FF"/>
    <w:rsid w:val="00003AD6"/>
    <w:rsid w:val="000049DA"/>
    <w:rsid w:val="00004F54"/>
    <w:rsid w:val="00005E82"/>
    <w:rsid w:val="000060E8"/>
    <w:rsid w:val="00007392"/>
    <w:rsid w:val="00007AB9"/>
    <w:rsid w:val="0001019F"/>
    <w:rsid w:val="0001240E"/>
    <w:rsid w:val="00012675"/>
    <w:rsid w:val="000141A3"/>
    <w:rsid w:val="00015760"/>
    <w:rsid w:val="00015C48"/>
    <w:rsid w:val="000174A7"/>
    <w:rsid w:val="00017CF9"/>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3AA"/>
    <w:rsid w:val="00041DD4"/>
    <w:rsid w:val="00042A2B"/>
    <w:rsid w:val="00043C51"/>
    <w:rsid w:val="000445CA"/>
    <w:rsid w:val="00045D7B"/>
    <w:rsid w:val="00046B17"/>
    <w:rsid w:val="000474DF"/>
    <w:rsid w:val="00050838"/>
    <w:rsid w:val="000515AD"/>
    <w:rsid w:val="00052B6B"/>
    <w:rsid w:val="00053466"/>
    <w:rsid w:val="00053613"/>
    <w:rsid w:val="000538D9"/>
    <w:rsid w:val="00053CD2"/>
    <w:rsid w:val="00054380"/>
    <w:rsid w:val="00056120"/>
    <w:rsid w:val="00056340"/>
    <w:rsid w:val="00056AC6"/>
    <w:rsid w:val="00056EA3"/>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2A6"/>
    <w:rsid w:val="0007167C"/>
    <w:rsid w:val="00071C09"/>
    <w:rsid w:val="0007390C"/>
    <w:rsid w:val="00073C1D"/>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BBF"/>
    <w:rsid w:val="00091E98"/>
    <w:rsid w:val="0009419B"/>
    <w:rsid w:val="0009490F"/>
    <w:rsid w:val="00094AB3"/>
    <w:rsid w:val="00095C34"/>
    <w:rsid w:val="00096A5C"/>
    <w:rsid w:val="000A0E44"/>
    <w:rsid w:val="000A17AD"/>
    <w:rsid w:val="000A247A"/>
    <w:rsid w:val="000A360E"/>
    <w:rsid w:val="000A3745"/>
    <w:rsid w:val="000A683C"/>
    <w:rsid w:val="000A6892"/>
    <w:rsid w:val="000A6C42"/>
    <w:rsid w:val="000B0E45"/>
    <w:rsid w:val="000B1296"/>
    <w:rsid w:val="000B274D"/>
    <w:rsid w:val="000B2B35"/>
    <w:rsid w:val="000B34C4"/>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C73A0"/>
    <w:rsid w:val="000D0CED"/>
    <w:rsid w:val="000D1BB7"/>
    <w:rsid w:val="000D1E2E"/>
    <w:rsid w:val="000D2790"/>
    <w:rsid w:val="000D3773"/>
    <w:rsid w:val="000D46F5"/>
    <w:rsid w:val="000D4878"/>
    <w:rsid w:val="000D4CF4"/>
    <w:rsid w:val="000D5880"/>
    <w:rsid w:val="000D5B9B"/>
    <w:rsid w:val="000D5F97"/>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4F12"/>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7A5"/>
    <w:rsid w:val="00114806"/>
    <w:rsid w:val="00115646"/>
    <w:rsid w:val="00115D67"/>
    <w:rsid w:val="0011600E"/>
    <w:rsid w:val="00116EDC"/>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6E2B"/>
    <w:rsid w:val="00127F9A"/>
    <w:rsid w:val="0013044D"/>
    <w:rsid w:val="001317F2"/>
    <w:rsid w:val="001332B5"/>
    <w:rsid w:val="00134DE4"/>
    <w:rsid w:val="00135C38"/>
    <w:rsid w:val="0013674F"/>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7D"/>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22F"/>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6FEB"/>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5E52"/>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140"/>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0DA9"/>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06ADD"/>
    <w:rsid w:val="00210591"/>
    <w:rsid w:val="002106F0"/>
    <w:rsid w:val="00210797"/>
    <w:rsid w:val="00210D2F"/>
    <w:rsid w:val="00210E93"/>
    <w:rsid w:val="00211831"/>
    <w:rsid w:val="00212343"/>
    <w:rsid w:val="00212607"/>
    <w:rsid w:val="002128B5"/>
    <w:rsid w:val="00212BA2"/>
    <w:rsid w:val="0021311E"/>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6ABC"/>
    <w:rsid w:val="00227A6D"/>
    <w:rsid w:val="00227E6F"/>
    <w:rsid w:val="002315EB"/>
    <w:rsid w:val="0023184C"/>
    <w:rsid w:val="00232AA4"/>
    <w:rsid w:val="00232BE0"/>
    <w:rsid w:val="0023317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45C"/>
    <w:rsid w:val="002525ED"/>
    <w:rsid w:val="00252A79"/>
    <w:rsid w:val="00252AA9"/>
    <w:rsid w:val="00252CA6"/>
    <w:rsid w:val="00252EE3"/>
    <w:rsid w:val="0025313E"/>
    <w:rsid w:val="00253805"/>
    <w:rsid w:val="00255805"/>
    <w:rsid w:val="00256528"/>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5BA"/>
    <w:rsid w:val="00277ACE"/>
    <w:rsid w:val="00277AF7"/>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6686"/>
    <w:rsid w:val="00297A60"/>
    <w:rsid w:val="00297C8A"/>
    <w:rsid w:val="002A0838"/>
    <w:rsid w:val="002A20C0"/>
    <w:rsid w:val="002A2B1D"/>
    <w:rsid w:val="002A2D1F"/>
    <w:rsid w:val="002A335C"/>
    <w:rsid w:val="002A42B8"/>
    <w:rsid w:val="002A4A4C"/>
    <w:rsid w:val="002A4FAC"/>
    <w:rsid w:val="002A538A"/>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08B"/>
    <w:rsid w:val="002D16E7"/>
    <w:rsid w:val="002D1B19"/>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2FB"/>
    <w:rsid w:val="002F5EC9"/>
    <w:rsid w:val="002F653E"/>
    <w:rsid w:val="002F67E7"/>
    <w:rsid w:val="002F6A81"/>
    <w:rsid w:val="002F7FDF"/>
    <w:rsid w:val="00300B68"/>
    <w:rsid w:val="00301E9B"/>
    <w:rsid w:val="00302CCA"/>
    <w:rsid w:val="00302D63"/>
    <w:rsid w:val="00303132"/>
    <w:rsid w:val="003031DC"/>
    <w:rsid w:val="00303716"/>
    <w:rsid w:val="003042A8"/>
    <w:rsid w:val="00304A8F"/>
    <w:rsid w:val="00305B39"/>
    <w:rsid w:val="00306107"/>
    <w:rsid w:val="003063F0"/>
    <w:rsid w:val="003069AB"/>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029F"/>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023"/>
    <w:rsid w:val="003552DA"/>
    <w:rsid w:val="00355427"/>
    <w:rsid w:val="003565A3"/>
    <w:rsid w:val="003605A2"/>
    <w:rsid w:val="00362716"/>
    <w:rsid w:val="00362BA1"/>
    <w:rsid w:val="00362BFF"/>
    <w:rsid w:val="00362D22"/>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C80"/>
    <w:rsid w:val="003A3D15"/>
    <w:rsid w:val="003A441D"/>
    <w:rsid w:val="003A4A25"/>
    <w:rsid w:val="003A5D2F"/>
    <w:rsid w:val="003A6F57"/>
    <w:rsid w:val="003A744F"/>
    <w:rsid w:val="003B2C66"/>
    <w:rsid w:val="003B2D38"/>
    <w:rsid w:val="003B38F4"/>
    <w:rsid w:val="003B485F"/>
    <w:rsid w:val="003B503D"/>
    <w:rsid w:val="003B5289"/>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1735"/>
    <w:rsid w:val="003D18C2"/>
    <w:rsid w:val="003D2EFF"/>
    <w:rsid w:val="003D4323"/>
    <w:rsid w:val="003D434D"/>
    <w:rsid w:val="003D4B2E"/>
    <w:rsid w:val="003D4C08"/>
    <w:rsid w:val="003D4D69"/>
    <w:rsid w:val="003D62A6"/>
    <w:rsid w:val="003D7247"/>
    <w:rsid w:val="003D75EA"/>
    <w:rsid w:val="003E0983"/>
    <w:rsid w:val="003E199C"/>
    <w:rsid w:val="003E2961"/>
    <w:rsid w:val="003E482F"/>
    <w:rsid w:val="003E5245"/>
    <w:rsid w:val="003E52F5"/>
    <w:rsid w:val="003E5E41"/>
    <w:rsid w:val="003E62E0"/>
    <w:rsid w:val="003E6522"/>
    <w:rsid w:val="003E6F53"/>
    <w:rsid w:val="003E7CF2"/>
    <w:rsid w:val="003F19F7"/>
    <w:rsid w:val="003F3F30"/>
    <w:rsid w:val="003F4413"/>
    <w:rsid w:val="003F56ED"/>
    <w:rsid w:val="003F5BB6"/>
    <w:rsid w:val="003F71FE"/>
    <w:rsid w:val="003F7D7A"/>
    <w:rsid w:val="00402A3A"/>
    <w:rsid w:val="00402A63"/>
    <w:rsid w:val="00403874"/>
    <w:rsid w:val="0040415D"/>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1A3"/>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2997"/>
    <w:rsid w:val="004537E0"/>
    <w:rsid w:val="00453AE2"/>
    <w:rsid w:val="00455A2B"/>
    <w:rsid w:val="0045606F"/>
    <w:rsid w:val="00457C07"/>
    <w:rsid w:val="00457C0C"/>
    <w:rsid w:val="00460C3C"/>
    <w:rsid w:val="00461B58"/>
    <w:rsid w:val="0046408E"/>
    <w:rsid w:val="004649BE"/>
    <w:rsid w:val="00464B8F"/>
    <w:rsid w:val="00464FC6"/>
    <w:rsid w:val="00466212"/>
    <w:rsid w:val="00470E5C"/>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1FCF"/>
    <w:rsid w:val="00492D63"/>
    <w:rsid w:val="004930EE"/>
    <w:rsid w:val="00494B10"/>
    <w:rsid w:val="00494F6A"/>
    <w:rsid w:val="00496B46"/>
    <w:rsid w:val="00496D41"/>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465"/>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070B"/>
    <w:rsid w:val="004F11AF"/>
    <w:rsid w:val="004F180F"/>
    <w:rsid w:val="004F1823"/>
    <w:rsid w:val="004F1F87"/>
    <w:rsid w:val="004F6416"/>
    <w:rsid w:val="004F6455"/>
    <w:rsid w:val="004F6B33"/>
    <w:rsid w:val="004F6DFB"/>
    <w:rsid w:val="005004FA"/>
    <w:rsid w:val="00501532"/>
    <w:rsid w:val="005019CB"/>
    <w:rsid w:val="00503E0A"/>
    <w:rsid w:val="0050441E"/>
    <w:rsid w:val="00506684"/>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29D9"/>
    <w:rsid w:val="00523217"/>
    <w:rsid w:val="00523963"/>
    <w:rsid w:val="00523F4A"/>
    <w:rsid w:val="005254AC"/>
    <w:rsid w:val="00525B44"/>
    <w:rsid w:val="00526D7B"/>
    <w:rsid w:val="005273ED"/>
    <w:rsid w:val="00527526"/>
    <w:rsid w:val="005303A5"/>
    <w:rsid w:val="00531342"/>
    <w:rsid w:val="00532CC6"/>
    <w:rsid w:val="005332D4"/>
    <w:rsid w:val="00535381"/>
    <w:rsid w:val="00535626"/>
    <w:rsid w:val="00535D82"/>
    <w:rsid w:val="00537638"/>
    <w:rsid w:val="0054030E"/>
    <w:rsid w:val="00541308"/>
    <w:rsid w:val="00541D2F"/>
    <w:rsid w:val="00542B8A"/>
    <w:rsid w:val="00542F06"/>
    <w:rsid w:val="00543239"/>
    <w:rsid w:val="00543465"/>
    <w:rsid w:val="00543D66"/>
    <w:rsid w:val="00544FFC"/>
    <w:rsid w:val="00545FD1"/>
    <w:rsid w:val="00546D83"/>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01D"/>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A7B"/>
    <w:rsid w:val="005B6C2B"/>
    <w:rsid w:val="005B7185"/>
    <w:rsid w:val="005B7B6E"/>
    <w:rsid w:val="005C1260"/>
    <w:rsid w:val="005C2763"/>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14B0"/>
    <w:rsid w:val="005F2DE0"/>
    <w:rsid w:val="005F3C37"/>
    <w:rsid w:val="005F45CE"/>
    <w:rsid w:val="005F4877"/>
    <w:rsid w:val="005F5D2E"/>
    <w:rsid w:val="005F6287"/>
    <w:rsid w:val="005F6C18"/>
    <w:rsid w:val="005F7A35"/>
    <w:rsid w:val="006006A0"/>
    <w:rsid w:val="0060125E"/>
    <w:rsid w:val="00601928"/>
    <w:rsid w:val="00601B92"/>
    <w:rsid w:val="00601C2E"/>
    <w:rsid w:val="006022EC"/>
    <w:rsid w:val="006037E6"/>
    <w:rsid w:val="00603EC9"/>
    <w:rsid w:val="00610981"/>
    <w:rsid w:val="00611217"/>
    <w:rsid w:val="00612862"/>
    <w:rsid w:val="00612C7B"/>
    <w:rsid w:val="00612D6B"/>
    <w:rsid w:val="006149FB"/>
    <w:rsid w:val="00615868"/>
    <w:rsid w:val="00616157"/>
    <w:rsid w:val="006162D6"/>
    <w:rsid w:val="006176CC"/>
    <w:rsid w:val="006204CE"/>
    <w:rsid w:val="00620F19"/>
    <w:rsid w:val="006235E2"/>
    <w:rsid w:val="00624424"/>
    <w:rsid w:val="00625682"/>
    <w:rsid w:val="0062623E"/>
    <w:rsid w:val="00627594"/>
    <w:rsid w:val="006309F6"/>
    <w:rsid w:val="00630C9F"/>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E79"/>
    <w:rsid w:val="0066504A"/>
    <w:rsid w:val="00665576"/>
    <w:rsid w:val="00665D82"/>
    <w:rsid w:val="0066664B"/>
    <w:rsid w:val="00666BB1"/>
    <w:rsid w:val="00667111"/>
    <w:rsid w:val="00670D08"/>
    <w:rsid w:val="00671A79"/>
    <w:rsid w:val="00671D27"/>
    <w:rsid w:val="00672110"/>
    <w:rsid w:val="006745FA"/>
    <w:rsid w:val="006755F3"/>
    <w:rsid w:val="00676044"/>
    <w:rsid w:val="00676AD0"/>
    <w:rsid w:val="00677380"/>
    <w:rsid w:val="006775CD"/>
    <w:rsid w:val="0067777A"/>
    <w:rsid w:val="006802FD"/>
    <w:rsid w:val="00680A90"/>
    <w:rsid w:val="00681226"/>
    <w:rsid w:val="00681E9E"/>
    <w:rsid w:val="006832EB"/>
    <w:rsid w:val="00683626"/>
    <w:rsid w:val="00683B85"/>
    <w:rsid w:val="006843AE"/>
    <w:rsid w:val="00685F5A"/>
    <w:rsid w:val="0068668B"/>
    <w:rsid w:val="00686E06"/>
    <w:rsid w:val="006913B7"/>
    <w:rsid w:val="00691D2A"/>
    <w:rsid w:val="00692E63"/>
    <w:rsid w:val="0069335B"/>
    <w:rsid w:val="00693734"/>
    <w:rsid w:val="0069492E"/>
    <w:rsid w:val="00694C99"/>
    <w:rsid w:val="00695D46"/>
    <w:rsid w:val="0069660A"/>
    <w:rsid w:val="0069695C"/>
    <w:rsid w:val="00697F08"/>
    <w:rsid w:val="006A0294"/>
    <w:rsid w:val="006A13F6"/>
    <w:rsid w:val="006A1DAA"/>
    <w:rsid w:val="006A2104"/>
    <w:rsid w:val="006A2C3A"/>
    <w:rsid w:val="006A54FE"/>
    <w:rsid w:val="006A5586"/>
    <w:rsid w:val="006A6F96"/>
    <w:rsid w:val="006B0464"/>
    <w:rsid w:val="006B1FDC"/>
    <w:rsid w:val="006B2590"/>
    <w:rsid w:val="006B32B6"/>
    <w:rsid w:val="006B36F6"/>
    <w:rsid w:val="006B381B"/>
    <w:rsid w:val="006B45C0"/>
    <w:rsid w:val="006B4E59"/>
    <w:rsid w:val="006B5027"/>
    <w:rsid w:val="006B5151"/>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0347"/>
    <w:rsid w:val="006E103E"/>
    <w:rsid w:val="006E13E6"/>
    <w:rsid w:val="006E1D28"/>
    <w:rsid w:val="006E1DA2"/>
    <w:rsid w:val="006E1E0C"/>
    <w:rsid w:val="006E2964"/>
    <w:rsid w:val="006E3311"/>
    <w:rsid w:val="006E6E08"/>
    <w:rsid w:val="006F18B3"/>
    <w:rsid w:val="006F325C"/>
    <w:rsid w:val="006F408D"/>
    <w:rsid w:val="006F4E2A"/>
    <w:rsid w:val="006F4FE8"/>
    <w:rsid w:val="006F7BE2"/>
    <w:rsid w:val="007002B0"/>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37F71"/>
    <w:rsid w:val="00740025"/>
    <w:rsid w:val="00740458"/>
    <w:rsid w:val="00742101"/>
    <w:rsid w:val="00743AF8"/>
    <w:rsid w:val="00743D16"/>
    <w:rsid w:val="00744142"/>
    <w:rsid w:val="00744941"/>
    <w:rsid w:val="00745F37"/>
    <w:rsid w:val="007473BE"/>
    <w:rsid w:val="00747E12"/>
    <w:rsid w:val="00750A2B"/>
    <w:rsid w:val="00750C15"/>
    <w:rsid w:val="00750D1E"/>
    <w:rsid w:val="00751342"/>
    <w:rsid w:val="00752B31"/>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5920"/>
    <w:rsid w:val="00776552"/>
    <w:rsid w:val="0077694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2E97"/>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D84"/>
    <w:rsid w:val="007B5E3D"/>
    <w:rsid w:val="007B6610"/>
    <w:rsid w:val="007B7064"/>
    <w:rsid w:val="007B7CE2"/>
    <w:rsid w:val="007C3898"/>
    <w:rsid w:val="007C3907"/>
    <w:rsid w:val="007C395C"/>
    <w:rsid w:val="007C4332"/>
    <w:rsid w:val="007C501F"/>
    <w:rsid w:val="007C57C3"/>
    <w:rsid w:val="007C61B4"/>
    <w:rsid w:val="007C6CDD"/>
    <w:rsid w:val="007C72AB"/>
    <w:rsid w:val="007C776D"/>
    <w:rsid w:val="007C7B8E"/>
    <w:rsid w:val="007D003B"/>
    <w:rsid w:val="007D1035"/>
    <w:rsid w:val="007D245E"/>
    <w:rsid w:val="007D253A"/>
    <w:rsid w:val="007D385B"/>
    <w:rsid w:val="007D4AF2"/>
    <w:rsid w:val="007D4BEB"/>
    <w:rsid w:val="007D55A3"/>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2D2B"/>
    <w:rsid w:val="00813275"/>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4E4F"/>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5BC"/>
    <w:rsid w:val="008658A1"/>
    <w:rsid w:val="00866645"/>
    <w:rsid w:val="00867D02"/>
    <w:rsid w:val="00867FD3"/>
    <w:rsid w:val="008701B0"/>
    <w:rsid w:val="008711F2"/>
    <w:rsid w:val="0087144D"/>
    <w:rsid w:val="00871532"/>
    <w:rsid w:val="008718DD"/>
    <w:rsid w:val="008719A2"/>
    <w:rsid w:val="00873A04"/>
    <w:rsid w:val="00873AA2"/>
    <w:rsid w:val="0087435A"/>
    <w:rsid w:val="0087542C"/>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6DC"/>
    <w:rsid w:val="00891D8A"/>
    <w:rsid w:val="00891F6C"/>
    <w:rsid w:val="008936C7"/>
    <w:rsid w:val="00894BEC"/>
    <w:rsid w:val="00895C86"/>
    <w:rsid w:val="0089606D"/>
    <w:rsid w:val="00896BF6"/>
    <w:rsid w:val="00897707"/>
    <w:rsid w:val="00897B48"/>
    <w:rsid w:val="00897F3C"/>
    <w:rsid w:val="008A20D2"/>
    <w:rsid w:val="008A25CA"/>
    <w:rsid w:val="008A4441"/>
    <w:rsid w:val="008A46D6"/>
    <w:rsid w:val="008A5DA5"/>
    <w:rsid w:val="008A6A5B"/>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50E"/>
    <w:rsid w:val="008D4A4E"/>
    <w:rsid w:val="008D4D8D"/>
    <w:rsid w:val="008D5314"/>
    <w:rsid w:val="008D7468"/>
    <w:rsid w:val="008E0A46"/>
    <w:rsid w:val="008E0A76"/>
    <w:rsid w:val="008E1A6C"/>
    <w:rsid w:val="008E317B"/>
    <w:rsid w:val="008E3408"/>
    <w:rsid w:val="008E3637"/>
    <w:rsid w:val="008E386F"/>
    <w:rsid w:val="008E3919"/>
    <w:rsid w:val="008E6E22"/>
    <w:rsid w:val="008F010A"/>
    <w:rsid w:val="008F085C"/>
    <w:rsid w:val="008F0CC0"/>
    <w:rsid w:val="008F0DDE"/>
    <w:rsid w:val="008F15DA"/>
    <w:rsid w:val="008F196A"/>
    <w:rsid w:val="008F24DB"/>
    <w:rsid w:val="008F2865"/>
    <w:rsid w:val="008F310C"/>
    <w:rsid w:val="008F494C"/>
    <w:rsid w:val="008F4B1B"/>
    <w:rsid w:val="008F53CD"/>
    <w:rsid w:val="008F5619"/>
    <w:rsid w:val="008F56A0"/>
    <w:rsid w:val="008F5D72"/>
    <w:rsid w:val="008F6BDA"/>
    <w:rsid w:val="008F73EA"/>
    <w:rsid w:val="00900098"/>
    <w:rsid w:val="009005C1"/>
    <w:rsid w:val="0090121A"/>
    <w:rsid w:val="00901531"/>
    <w:rsid w:val="00903D1A"/>
    <w:rsid w:val="0090461D"/>
    <w:rsid w:val="00904B28"/>
    <w:rsid w:val="00905C94"/>
    <w:rsid w:val="009078D8"/>
    <w:rsid w:val="00907A02"/>
    <w:rsid w:val="00911455"/>
    <w:rsid w:val="00911AB9"/>
    <w:rsid w:val="00912B5A"/>
    <w:rsid w:val="00913366"/>
    <w:rsid w:val="009133BA"/>
    <w:rsid w:val="00913B90"/>
    <w:rsid w:val="00915B42"/>
    <w:rsid w:val="00916661"/>
    <w:rsid w:val="00916F38"/>
    <w:rsid w:val="00917A24"/>
    <w:rsid w:val="00917DEA"/>
    <w:rsid w:val="00923DCD"/>
    <w:rsid w:val="009252B3"/>
    <w:rsid w:val="00925BF8"/>
    <w:rsid w:val="00927B6B"/>
    <w:rsid w:val="00927E3D"/>
    <w:rsid w:val="009304E3"/>
    <w:rsid w:val="00931A3D"/>
    <w:rsid w:val="0093216F"/>
    <w:rsid w:val="0093284F"/>
    <w:rsid w:val="00933973"/>
    <w:rsid w:val="00934473"/>
    <w:rsid w:val="00935063"/>
    <w:rsid w:val="00935B95"/>
    <w:rsid w:val="00936085"/>
    <w:rsid w:val="0093772D"/>
    <w:rsid w:val="00940A1E"/>
    <w:rsid w:val="00941B1F"/>
    <w:rsid w:val="009422E0"/>
    <w:rsid w:val="00942487"/>
    <w:rsid w:val="00942D9C"/>
    <w:rsid w:val="00942F2F"/>
    <w:rsid w:val="00943188"/>
    <w:rsid w:val="00946523"/>
    <w:rsid w:val="009473E5"/>
    <w:rsid w:val="00947943"/>
    <w:rsid w:val="00947B5B"/>
    <w:rsid w:val="00947C96"/>
    <w:rsid w:val="0095017E"/>
    <w:rsid w:val="009509BD"/>
    <w:rsid w:val="00950C24"/>
    <w:rsid w:val="0095133C"/>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1B4C"/>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6541"/>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4CBE"/>
    <w:rsid w:val="009E5033"/>
    <w:rsid w:val="009E60B3"/>
    <w:rsid w:val="009E6881"/>
    <w:rsid w:val="009E71C6"/>
    <w:rsid w:val="009F0DF8"/>
    <w:rsid w:val="009F17B7"/>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400A"/>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6CCE"/>
    <w:rsid w:val="00A270E6"/>
    <w:rsid w:val="00A27258"/>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4ADB"/>
    <w:rsid w:val="00A454D6"/>
    <w:rsid w:val="00A46715"/>
    <w:rsid w:val="00A47A44"/>
    <w:rsid w:val="00A52057"/>
    <w:rsid w:val="00A53616"/>
    <w:rsid w:val="00A53C29"/>
    <w:rsid w:val="00A540FB"/>
    <w:rsid w:val="00A54D1A"/>
    <w:rsid w:val="00A55C6C"/>
    <w:rsid w:val="00A55E7C"/>
    <w:rsid w:val="00A56B01"/>
    <w:rsid w:val="00A56E85"/>
    <w:rsid w:val="00A579C8"/>
    <w:rsid w:val="00A57AEC"/>
    <w:rsid w:val="00A60DE4"/>
    <w:rsid w:val="00A617F9"/>
    <w:rsid w:val="00A62D45"/>
    <w:rsid w:val="00A63017"/>
    <w:rsid w:val="00A63DD8"/>
    <w:rsid w:val="00A6494F"/>
    <w:rsid w:val="00A64F06"/>
    <w:rsid w:val="00A652E2"/>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3026"/>
    <w:rsid w:val="00A83CFE"/>
    <w:rsid w:val="00A842B1"/>
    <w:rsid w:val="00A84AD3"/>
    <w:rsid w:val="00A84AF2"/>
    <w:rsid w:val="00A86E86"/>
    <w:rsid w:val="00A86F01"/>
    <w:rsid w:val="00A87205"/>
    <w:rsid w:val="00A87426"/>
    <w:rsid w:val="00A87BE9"/>
    <w:rsid w:val="00A909C3"/>
    <w:rsid w:val="00A91DD8"/>
    <w:rsid w:val="00A92918"/>
    <w:rsid w:val="00A94DAC"/>
    <w:rsid w:val="00A94E8C"/>
    <w:rsid w:val="00A95801"/>
    <w:rsid w:val="00A95EF3"/>
    <w:rsid w:val="00A96E92"/>
    <w:rsid w:val="00AA0512"/>
    <w:rsid w:val="00AA0C42"/>
    <w:rsid w:val="00AA0E0E"/>
    <w:rsid w:val="00AA1A27"/>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0E11"/>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0"/>
    <w:rsid w:val="00B34D44"/>
    <w:rsid w:val="00B3525F"/>
    <w:rsid w:val="00B36539"/>
    <w:rsid w:val="00B365EC"/>
    <w:rsid w:val="00B376C5"/>
    <w:rsid w:val="00B407E8"/>
    <w:rsid w:val="00B41BBD"/>
    <w:rsid w:val="00B4201B"/>
    <w:rsid w:val="00B42987"/>
    <w:rsid w:val="00B44A91"/>
    <w:rsid w:val="00B505F9"/>
    <w:rsid w:val="00B5189E"/>
    <w:rsid w:val="00B519D3"/>
    <w:rsid w:val="00B5402B"/>
    <w:rsid w:val="00B54623"/>
    <w:rsid w:val="00B54837"/>
    <w:rsid w:val="00B55A60"/>
    <w:rsid w:val="00B57698"/>
    <w:rsid w:val="00B60326"/>
    <w:rsid w:val="00B615E6"/>
    <w:rsid w:val="00B62AEB"/>
    <w:rsid w:val="00B635AA"/>
    <w:rsid w:val="00B63CD3"/>
    <w:rsid w:val="00B64194"/>
    <w:rsid w:val="00B6467C"/>
    <w:rsid w:val="00B67EE4"/>
    <w:rsid w:val="00B722C7"/>
    <w:rsid w:val="00B7297F"/>
    <w:rsid w:val="00B736E4"/>
    <w:rsid w:val="00B7373E"/>
    <w:rsid w:val="00B74084"/>
    <w:rsid w:val="00B740F6"/>
    <w:rsid w:val="00B75233"/>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5753"/>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4846"/>
    <w:rsid w:val="00BE5421"/>
    <w:rsid w:val="00BE5AD6"/>
    <w:rsid w:val="00BE6458"/>
    <w:rsid w:val="00BE75BE"/>
    <w:rsid w:val="00BF106A"/>
    <w:rsid w:val="00BF1365"/>
    <w:rsid w:val="00BF2431"/>
    <w:rsid w:val="00BF27D0"/>
    <w:rsid w:val="00BF2ABC"/>
    <w:rsid w:val="00BF2DD3"/>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3F7"/>
    <w:rsid w:val="00C26981"/>
    <w:rsid w:val="00C30049"/>
    <w:rsid w:val="00C3019A"/>
    <w:rsid w:val="00C3220E"/>
    <w:rsid w:val="00C345AA"/>
    <w:rsid w:val="00C34B6D"/>
    <w:rsid w:val="00C352BE"/>
    <w:rsid w:val="00C35DD4"/>
    <w:rsid w:val="00C35FB7"/>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BB3"/>
    <w:rsid w:val="00C64FEC"/>
    <w:rsid w:val="00C65574"/>
    <w:rsid w:val="00C65849"/>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0E7D"/>
    <w:rsid w:val="00CC10E4"/>
    <w:rsid w:val="00CC1A41"/>
    <w:rsid w:val="00CC26F3"/>
    <w:rsid w:val="00CC3F16"/>
    <w:rsid w:val="00CC491D"/>
    <w:rsid w:val="00CC4BED"/>
    <w:rsid w:val="00CC557E"/>
    <w:rsid w:val="00CC7E6E"/>
    <w:rsid w:val="00CD063D"/>
    <w:rsid w:val="00CD09C2"/>
    <w:rsid w:val="00CD1559"/>
    <w:rsid w:val="00CD1E77"/>
    <w:rsid w:val="00CD2A6C"/>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28D"/>
    <w:rsid w:val="00CF3F1D"/>
    <w:rsid w:val="00CF3F2E"/>
    <w:rsid w:val="00CF4A6D"/>
    <w:rsid w:val="00CF667D"/>
    <w:rsid w:val="00CF6E95"/>
    <w:rsid w:val="00CF71C8"/>
    <w:rsid w:val="00CF78D6"/>
    <w:rsid w:val="00D004E1"/>
    <w:rsid w:val="00D00E12"/>
    <w:rsid w:val="00D023EB"/>
    <w:rsid w:val="00D02A8D"/>
    <w:rsid w:val="00D02A97"/>
    <w:rsid w:val="00D02D0C"/>
    <w:rsid w:val="00D0349C"/>
    <w:rsid w:val="00D04040"/>
    <w:rsid w:val="00D04973"/>
    <w:rsid w:val="00D05094"/>
    <w:rsid w:val="00D053D8"/>
    <w:rsid w:val="00D0611C"/>
    <w:rsid w:val="00D0661A"/>
    <w:rsid w:val="00D06F74"/>
    <w:rsid w:val="00D07B0E"/>
    <w:rsid w:val="00D07D8B"/>
    <w:rsid w:val="00D10F62"/>
    <w:rsid w:val="00D12FE6"/>
    <w:rsid w:val="00D13C59"/>
    <w:rsid w:val="00D15299"/>
    <w:rsid w:val="00D163D3"/>
    <w:rsid w:val="00D16B0D"/>
    <w:rsid w:val="00D175B0"/>
    <w:rsid w:val="00D2031F"/>
    <w:rsid w:val="00D20489"/>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6788"/>
    <w:rsid w:val="00D470BE"/>
    <w:rsid w:val="00D47114"/>
    <w:rsid w:val="00D50E16"/>
    <w:rsid w:val="00D50EC8"/>
    <w:rsid w:val="00D51A0F"/>
    <w:rsid w:val="00D51A53"/>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6CB"/>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2A9"/>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C7EB5"/>
    <w:rsid w:val="00DD04D8"/>
    <w:rsid w:val="00DD1F0C"/>
    <w:rsid w:val="00DD2B91"/>
    <w:rsid w:val="00DD487B"/>
    <w:rsid w:val="00DD4FBD"/>
    <w:rsid w:val="00DD6046"/>
    <w:rsid w:val="00DE09C0"/>
    <w:rsid w:val="00DE09CB"/>
    <w:rsid w:val="00DE13F1"/>
    <w:rsid w:val="00DE362C"/>
    <w:rsid w:val="00DE3CDE"/>
    <w:rsid w:val="00DE41E3"/>
    <w:rsid w:val="00DE4A60"/>
    <w:rsid w:val="00DE4B51"/>
    <w:rsid w:val="00DE74C8"/>
    <w:rsid w:val="00DE77D1"/>
    <w:rsid w:val="00DE7C41"/>
    <w:rsid w:val="00DF06A2"/>
    <w:rsid w:val="00DF1BD7"/>
    <w:rsid w:val="00DF2DF4"/>
    <w:rsid w:val="00DF4B01"/>
    <w:rsid w:val="00DF633C"/>
    <w:rsid w:val="00DF6971"/>
    <w:rsid w:val="00E01180"/>
    <w:rsid w:val="00E011C5"/>
    <w:rsid w:val="00E025AC"/>
    <w:rsid w:val="00E02DB6"/>
    <w:rsid w:val="00E03258"/>
    <w:rsid w:val="00E03573"/>
    <w:rsid w:val="00E043C5"/>
    <w:rsid w:val="00E05B02"/>
    <w:rsid w:val="00E05DF7"/>
    <w:rsid w:val="00E061BD"/>
    <w:rsid w:val="00E1188B"/>
    <w:rsid w:val="00E11B60"/>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A8B"/>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482E"/>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C25"/>
    <w:rsid w:val="00EA0E86"/>
    <w:rsid w:val="00EA2C5B"/>
    <w:rsid w:val="00EA327C"/>
    <w:rsid w:val="00EA36EE"/>
    <w:rsid w:val="00EA435C"/>
    <w:rsid w:val="00EA61F6"/>
    <w:rsid w:val="00EB286A"/>
    <w:rsid w:val="00EB2B8F"/>
    <w:rsid w:val="00EB3AEB"/>
    <w:rsid w:val="00EB4924"/>
    <w:rsid w:val="00EB58BA"/>
    <w:rsid w:val="00EB5D50"/>
    <w:rsid w:val="00EB64CD"/>
    <w:rsid w:val="00EB688F"/>
    <w:rsid w:val="00EC0E50"/>
    <w:rsid w:val="00EC16B3"/>
    <w:rsid w:val="00EC2BF4"/>
    <w:rsid w:val="00EC36D4"/>
    <w:rsid w:val="00EC3975"/>
    <w:rsid w:val="00EC3C3E"/>
    <w:rsid w:val="00EC401B"/>
    <w:rsid w:val="00EC411B"/>
    <w:rsid w:val="00EC4215"/>
    <w:rsid w:val="00EC54ED"/>
    <w:rsid w:val="00EC56A7"/>
    <w:rsid w:val="00EC5E13"/>
    <w:rsid w:val="00EC6D8F"/>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A6F"/>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1BB1"/>
    <w:rsid w:val="00EF2502"/>
    <w:rsid w:val="00EF2BA2"/>
    <w:rsid w:val="00EF5CD4"/>
    <w:rsid w:val="00EF71C7"/>
    <w:rsid w:val="00EF7A34"/>
    <w:rsid w:val="00EF7CD0"/>
    <w:rsid w:val="00F0278E"/>
    <w:rsid w:val="00F0409E"/>
    <w:rsid w:val="00F04BD0"/>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17048"/>
    <w:rsid w:val="00F2056B"/>
    <w:rsid w:val="00F216E8"/>
    <w:rsid w:val="00F218EE"/>
    <w:rsid w:val="00F22EA4"/>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814"/>
    <w:rsid w:val="00F44B33"/>
    <w:rsid w:val="00F44F8B"/>
    <w:rsid w:val="00F450CC"/>
    <w:rsid w:val="00F468E6"/>
    <w:rsid w:val="00F46DEF"/>
    <w:rsid w:val="00F4731C"/>
    <w:rsid w:val="00F50221"/>
    <w:rsid w:val="00F51C75"/>
    <w:rsid w:val="00F52873"/>
    <w:rsid w:val="00F53005"/>
    <w:rsid w:val="00F53406"/>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863"/>
    <w:rsid w:val="00F71BEF"/>
    <w:rsid w:val="00F726E4"/>
    <w:rsid w:val="00F73868"/>
    <w:rsid w:val="00F73F01"/>
    <w:rsid w:val="00F741E3"/>
    <w:rsid w:val="00F74F48"/>
    <w:rsid w:val="00F7524C"/>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56B"/>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5F6C"/>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299"/>
    <w:rsid w:val="00FE7D7C"/>
    <w:rsid w:val="00FF0109"/>
    <w:rsid w:val="00FF0886"/>
    <w:rsid w:val="00FF0B92"/>
    <w:rsid w:val="00FF159E"/>
    <w:rsid w:val="00FF2751"/>
    <w:rsid w:val="00FF4121"/>
    <w:rsid w:val="00FF468E"/>
    <w:rsid w:val="00FF52BF"/>
    <w:rsid w:val="00FF5952"/>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67">
    <w:lsdException w:name="Normal" w:uiPriority="6"/>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6" w:uiPriority="4"/>
    <w:lsdException w:name="toc 7" w:uiPriority="39"/>
    <w:lsdException w:name="toc 8" w:uiPriority="39"/>
    <w:lsdException w:name="toc 9" w:uiPriority="4"/>
    <w:lsdException w:name="footnote text" w:uiPriority="7" w:qFormat="1"/>
    <w:lsdException w:name="annotation text" w:uiPriority="99"/>
    <w:lsdException w:name="caption" w:semiHidden="1" w:uiPriority="7" w:unhideWhenUsed="1" w:qFormat="1"/>
    <w:lsdException w:name="table of figures" w:uiPriority="99"/>
    <w:lsdException w:name="annotation reference" w:uiPriority="99"/>
    <w:lsdException w:name="List Bullet" w:uiPriority="99"/>
    <w:lsdException w:name="List Number 3" w:uiPriority="3"/>
    <w:lsdException w:name="Strong" w:uiPriority="22"/>
    <w:lsdException w:name="Emphasis" w:uiPriority="20"/>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6"/>
    <w:rsid w:val="00A579C8"/>
    <w:pPr>
      <w:jc w:val="both"/>
    </w:pPr>
    <w:rPr>
      <w:rFonts w:ascii="Verdana" w:hAnsi="Verdana"/>
      <w:color w:val="333333"/>
      <w:szCs w:val="24"/>
    </w:rPr>
  </w:style>
  <w:style w:type="paragraph" w:styleId="Heading1">
    <w:name w:val="heading 1"/>
    <w:aliases w:val="H1"/>
    <w:basedOn w:val="Normal"/>
    <w:next w:val="Normal"/>
    <w:link w:val="Heading1Char"/>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rsid w:val="00D02D0C"/>
    <w:pPr>
      <w:keepNext/>
      <w:spacing w:before="240" w:after="60"/>
      <w:outlineLvl w:val="1"/>
    </w:pPr>
    <w:rPr>
      <w:rFonts w:cs="Arial"/>
      <w:b/>
      <w:bCs/>
      <w:iCs/>
      <w:color w:val="263673"/>
      <w:szCs w:val="28"/>
    </w:rPr>
  </w:style>
  <w:style w:type="paragraph" w:styleId="Heading3">
    <w:name w:val="heading 3"/>
    <w:basedOn w:val="Normal"/>
    <w:next w:val="BodyTex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uiPriority w:val="7"/>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uiPriority w:val="7"/>
    <w:semiHidden/>
    <w:unhideWhenUsed/>
    <w:qFormat/>
    <w:rsid w:val="00CF059E"/>
    <w:pPr>
      <w:spacing w:after="200"/>
      <w:jc w:val="left"/>
    </w:pPr>
    <w:rPr>
      <w:rFonts w:ascii="Times New Roman" w:hAnsi="Times New Roman"/>
      <w:b/>
      <w:bCs/>
      <w:color w:val="4F81BD" w:themeColor="accent1"/>
      <w:sz w:val="18"/>
      <w:szCs w:val="18"/>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uiPriority w:val="7"/>
    <w:locked/>
    <w:rsid w:val="00CF059E"/>
    <w:rPr>
      <w:rFonts w:ascii="Verdana" w:hAnsi="Verdana"/>
      <w:color w:val="333333"/>
      <w:szCs w:val="20"/>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uiPriority w:val="7"/>
    <w:semiHidden/>
    <w:rsid w:val="00CF059E"/>
    <w:rPr>
      <w:b/>
      <w:bCs/>
      <w:color w:val="4F81BD" w:themeColor="accent1"/>
      <w:sz w:val="18"/>
      <w:szCs w:val="18"/>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rsid w:val="00CF059E"/>
    <w:rPr>
      <w:b/>
      <w:bCs/>
    </w:rPr>
  </w:style>
  <w:style w:type="paragraph" w:styleId="Subtitle">
    <w:name w:val="Subtitle"/>
    <w:basedOn w:val="Normal"/>
    <w:link w:val="SubtitleChar"/>
    <w:unhideWhenUsed/>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rsid w:val="00CF059E"/>
    <w:pPr>
      <w:numPr>
        <w:numId w:val="13"/>
      </w:numPr>
    </w:pPr>
  </w:style>
  <w:style w:type="paragraph" w:customStyle="1" w:styleId="Normal-SupplementNumber">
    <w:name w:val="Normal - Supplement Number"/>
    <w:basedOn w:val="Normal"/>
    <w:next w:val="Normal-Supplementtitle"/>
    <w:uiPriority w:val="5"/>
    <w:rsid w:val="00CF059E"/>
    <w:pPr>
      <w:tabs>
        <w:tab w:val="num" w:pos="1209"/>
      </w:tabs>
      <w:spacing w:before="2560" w:line="280" w:lineRule="exact"/>
      <w:outlineLvl w:val="6"/>
    </w:pPr>
    <w:rPr>
      <w:b/>
      <w:caps/>
      <w:color w:val="009DE0"/>
      <w:lang w:eastAsia="da-DK"/>
    </w:rPr>
  </w:style>
  <w:style w:type="paragraph" w:customStyle="1" w:styleId="Normal-Supplementtitle">
    <w:name w:val="Normal - Supplement title"/>
    <w:basedOn w:val="Normal-SupplementNumber"/>
    <w:next w:val="Normal"/>
    <w:uiPriority w:val="5"/>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jc w:val="left"/>
      <w:outlineLvl w:val="9"/>
    </w:pPr>
    <w:rPr>
      <w:rFonts w:asciiTheme="majorHAnsi" w:eastAsiaTheme="majorEastAsia" w:hAnsiTheme="majorHAnsi" w:cstheme="majorBidi"/>
      <w:color w:val="365F91" w:themeColor="accent1" w:themeShade="BF"/>
      <w:kern w:val="0"/>
      <w:szCs w:val="28"/>
    </w:rPr>
  </w:style>
  <w:style w:type="paragraph" w:customStyle="1" w:styleId="Footer-Negativeindent">
    <w:name w:val="Footer - Negative indent"/>
    <w:basedOn w:val="Footer-NotIndent"/>
    <w:uiPriority w:val="9"/>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67">
    <w:lsdException w:name="Normal" w:uiPriority="6"/>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6" w:uiPriority="4"/>
    <w:lsdException w:name="toc 7" w:uiPriority="39"/>
    <w:lsdException w:name="toc 8" w:uiPriority="39"/>
    <w:lsdException w:name="toc 9" w:uiPriority="4"/>
    <w:lsdException w:name="footnote text" w:uiPriority="7" w:qFormat="1"/>
    <w:lsdException w:name="annotation text" w:uiPriority="99"/>
    <w:lsdException w:name="caption" w:semiHidden="1" w:uiPriority="7" w:unhideWhenUsed="1" w:qFormat="1"/>
    <w:lsdException w:name="table of figures" w:uiPriority="99"/>
    <w:lsdException w:name="annotation reference" w:uiPriority="99"/>
    <w:lsdException w:name="List Bullet" w:uiPriority="99"/>
    <w:lsdException w:name="List Number 3" w:uiPriority="3"/>
    <w:lsdException w:name="Strong" w:uiPriority="22"/>
    <w:lsdException w:name="Emphasis" w:uiPriority="20"/>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6"/>
    <w:rsid w:val="00A579C8"/>
    <w:pPr>
      <w:jc w:val="both"/>
    </w:pPr>
    <w:rPr>
      <w:rFonts w:ascii="Verdana" w:hAnsi="Verdana"/>
      <w:color w:val="333333"/>
      <w:szCs w:val="24"/>
    </w:rPr>
  </w:style>
  <w:style w:type="paragraph" w:styleId="Heading1">
    <w:name w:val="heading 1"/>
    <w:aliases w:val="H1"/>
    <w:basedOn w:val="Normal"/>
    <w:next w:val="Normal"/>
    <w:link w:val="Heading1Char"/>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rsid w:val="00D02D0C"/>
    <w:pPr>
      <w:keepNext/>
      <w:spacing w:before="240" w:after="60"/>
      <w:outlineLvl w:val="1"/>
    </w:pPr>
    <w:rPr>
      <w:rFonts w:cs="Arial"/>
      <w:b/>
      <w:bCs/>
      <w:iCs/>
      <w:color w:val="263673"/>
      <w:szCs w:val="28"/>
    </w:rPr>
  </w:style>
  <w:style w:type="paragraph" w:styleId="Heading3">
    <w:name w:val="heading 3"/>
    <w:basedOn w:val="Normal"/>
    <w:next w:val="BodyTex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uiPriority w:val="7"/>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uiPriority w:val="7"/>
    <w:semiHidden/>
    <w:unhideWhenUsed/>
    <w:qFormat/>
    <w:rsid w:val="00CF059E"/>
    <w:pPr>
      <w:spacing w:after="200"/>
      <w:jc w:val="left"/>
    </w:pPr>
    <w:rPr>
      <w:rFonts w:ascii="Times New Roman" w:hAnsi="Times New Roman"/>
      <w:b/>
      <w:bCs/>
      <w:color w:val="4F81BD" w:themeColor="accent1"/>
      <w:sz w:val="18"/>
      <w:szCs w:val="18"/>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uiPriority w:val="7"/>
    <w:locked/>
    <w:rsid w:val="00CF059E"/>
    <w:rPr>
      <w:rFonts w:ascii="Verdana" w:hAnsi="Verdana"/>
      <w:color w:val="333333"/>
      <w:szCs w:val="20"/>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uiPriority w:val="7"/>
    <w:semiHidden/>
    <w:rsid w:val="00CF059E"/>
    <w:rPr>
      <w:b/>
      <w:bCs/>
      <w:color w:val="4F81BD" w:themeColor="accent1"/>
      <w:sz w:val="18"/>
      <w:szCs w:val="18"/>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rsid w:val="00CF059E"/>
    <w:rPr>
      <w:b/>
      <w:bCs/>
    </w:rPr>
  </w:style>
  <w:style w:type="paragraph" w:styleId="Subtitle">
    <w:name w:val="Subtitle"/>
    <w:basedOn w:val="Normal"/>
    <w:link w:val="SubtitleChar"/>
    <w:unhideWhenUsed/>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rsid w:val="00CF059E"/>
    <w:pPr>
      <w:numPr>
        <w:numId w:val="13"/>
      </w:numPr>
    </w:pPr>
  </w:style>
  <w:style w:type="paragraph" w:customStyle="1" w:styleId="Normal-SupplementNumber">
    <w:name w:val="Normal - Supplement Number"/>
    <w:basedOn w:val="Normal"/>
    <w:next w:val="Normal-Supplementtitle"/>
    <w:uiPriority w:val="5"/>
    <w:rsid w:val="00CF059E"/>
    <w:pPr>
      <w:tabs>
        <w:tab w:val="num" w:pos="1209"/>
      </w:tabs>
      <w:spacing w:before="2560" w:line="280" w:lineRule="exact"/>
      <w:outlineLvl w:val="6"/>
    </w:pPr>
    <w:rPr>
      <w:b/>
      <w:caps/>
      <w:color w:val="009DE0"/>
      <w:lang w:eastAsia="da-DK"/>
    </w:rPr>
  </w:style>
  <w:style w:type="paragraph" w:customStyle="1" w:styleId="Normal-Supplementtitle">
    <w:name w:val="Normal - Supplement title"/>
    <w:basedOn w:val="Normal-SupplementNumber"/>
    <w:next w:val="Normal"/>
    <w:uiPriority w:val="5"/>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jc w:val="left"/>
      <w:outlineLvl w:val="9"/>
    </w:pPr>
    <w:rPr>
      <w:rFonts w:asciiTheme="majorHAnsi" w:eastAsiaTheme="majorEastAsia" w:hAnsiTheme="majorHAnsi" w:cstheme="majorBidi"/>
      <w:color w:val="365F91" w:themeColor="accent1" w:themeShade="BF"/>
      <w:kern w:val="0"/>
      <w:szCs w:val="28"/>
    </w:rPr>
  </w:style>
  <w:style w:type="paragraph" w:customStyle="1" w:styleId="Footer-Negativeindent">
    <w:name w:val="Footer - Negative indent"/>
    <w:basedOn w:val="Footer-NotIndent"/>
    <w:uiPriority w:val="9"/>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9249414">
      <w:bodyDiv w:val="1"/>
      <w:marLeft w:val="0"/>
      <w:marRight w:val="0"/>
      <w:marTop w:val="0"/>
      <w:marBottom w:val="0"/>
      <w:divBdr>
        <w:top w:val="none" w:sz="0" w:space="0" w:color="auto"/>
        <w:left w:val="none" w:sz="0" w:space="0" w:color="auto"/>
        <w:bottom w:val="none" w:sz="0" w:space="0" w:color="auto"/>
        <w:right w:val="none" w:sz="0" w:space="0" w:color="auto"/>
      </w:divBdr>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3EC72D83-F294-401C-860A-479C84CB7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4</TotalTime>
  <Pages>1</Pages>
  <Words>4508</Words>
  <Characters>25702</Characters>
  <Application>Microsoft Office Word</Application>
  <DocSecurity>0</DocSecurity>
  <PresentationFormat/>
  <Lines>214</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SORAINEN</Company>
  <LinksUpToDate>false</LinksUpToDate>
  <CharactersWithSpaces>30150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Saulė Dagilytė</dc:creator>
  <cp:lastModifiedBy>Alexandru Floristean</cp:lastModifiedBy>
  <cp:revision>5</cp:revision>
  <cp:lastPrinted>2015-06-01T07:59:00Z</cp:lastPrinted>
  <dcterms:created xsi:type="dcterms:W3CDTF">2015-10-27T08:23:00Z</dcterms:created>
  <dcterms:modified xsi:type="dcterms:W3CDTF">2015-11-02T11:41:00Z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