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8B720A" w:rsidRDefault="00B41BBD"/>
    <w:p w:rsidR="00D2200F" w:rsidRPr="008B720A" w:rsidRDefault="00D2200F"/>
    <w:p w:rsidR="00D2200F" w:rsidRPr="008B720A" w:rsidRDefault="00F8688E" w:rsidP="00F8688E">
      <w:pPr>
        <w:tabs>
          <w:tab w:val="left" w:pos="6624"/>
        </w:tabs>
      </w:pPr>
      <w:r w:rsidRPr="008B720A">
        <w:tab/>
      </w:r>
    </w:p>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p w:rsidR="00B41BBD" w:rsidRPr="008B720A" w:rsidRDefault="00B41BBD" w:rsidP="00B41BBD">
      <w:pPr>
        <w:tabs>
          <w:tab w:val="left" w:pos="7500"/>
        </w:tabs>
      </w:pPr>
    </w:p>
    <w:p w:rsidR="00B41BBD" w:rsidRPr="008B720A" w:rsidRDefault="00B41BBD" w:rsidP="00B41BBD">
      <w:pPr>
        <w:tabs>
          <w:tab w:val="left" w:pos="7500"/>
        </w:tabs>
      </w:pPr>
    </w:p>
    <w:p w:rsidR="00B41BBD" w:rsidRPr="008B720A" w:rsidRDefault="00B41BBD" w:rsidP="00B41BBD">
      <w:pPr>
        <w:tabs>
          <w:tab w:val="left" w:pos="7500"/>
        </w:tabs>
      </w:pPr>
    </w:p>
    <w:p w:rsidR="00B41BBD" w:rsidRPr="008B720A" w:rsidRDefault="00B41BBD" w:rsidP="00B41BBD">
      <w:pPr>
        <w:tabs>
          <w:tab w:val="left" w:pos="7500"/>
        </w:tabs>
      </w:pPr>
    </w:p>
    <w:p w:rsidR="00B41BBD" w:rsidRPr="008B720A" w:rsidRDefault="00B41BBD" w:rsidP="00B41BBD">
      <w:pPr>
        <w:tabs>
          <w:tab w:val="left" w:pos="7500"/>
        </w:tabs>
      </w:pPr>
    </w:p>
    <w:p w:rsidR="00B41BBD" w:rsidRPr="008B720A" w:rsidRDefault="00B41BBD" w:rsidP="00B41BBD">
      <w:pPr>
        <w:tabs>
          <w:tab w:val="left" w:pos="7500"/>
        </w:tabs>
      </w:pPr>
    </w:p>
    <w:p w:rsidR="000C6B6F" w:rsidRPr="008B720A" w:rsidRDefault="00FA55B1" w:rsidP="000C6B6F">
      <w:pPr>
        <w:jc w:val="center"/>
        <w:rPr>
          <w:b/>
          <w:color w:val="FFFFFF"/>
          <w:sz w:val="40"/>
          <w:szCs w:val="36"/>
        </w:rPr>
      </w:pPr>
      <w:r w:rsidRPr="008B720A">
        <w:rPr>
          <w:b/>
          <w:color w:val="FFFFFF"/>
          <w:sz w:val="40"/>
          <w:szCs w:val="36"/>
        </w:rPr>
        <w:t>Study on Aggressive Tax Planning</w:t>
      </w:r>
    </w:p>
    <w:p w:rsidR="000C6B6F" w:rsidRPr="008B720A" w:rsidRDefault="000C6B6F" w:rsidP="000C6B6F">
      <w:pPr>
        <w:jc w:val="center"/>
        <w:rPr>
          <w:b/>
          <w:color w:val="FFFFFF"/>
          <w:sz w:val="40"/>
          <w:szCs w:val="36"/>
        </w:rPr>
      </w:pPr>
    </w:p>
    <w:p w:rsidR="000C6B6F" w:rsidRPr="008B720A" w:rsidRDefault="000C6B6F" w:rsidP="000C6B6F">
      <w:pPr>
        <w:jc w:val="center"/>
      </w:pPr>
    </w:p>
    <w:p w:rsidR="000C6B6F" w:rsidRPr="008B720A" w:rsidRDefault="00FA55B1" w:rsidP="00FA55B1">
      <w:pPr>
        <w:jc w:val="center"/>
      </w:pPr>
      <w:r w:rsidRPr="008B720A">
        <w:rPr>
          <w:i/>
          <w:color w:val="FFFFFF"/>
          <w:sz w:val="36"/>
          <w:szCs w:val="36"/>
        </w:rPr>
        <w:t>Specific contract No13 under FWC TAXUD/2012/CC116</w:t>
      </w:r>
    </w:p>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FA55B1" w:rsidP="000C6B6F">
      <w:pPr>
        <w:jc w:val="center"/>
        <w:rPr>
          <w:b/>
          <w:color w:val="FFFFFF"/>
          <w:sz w:val="28"/>
        </w:rPr>
      </w:pPr>
      <w:r w:rsidRPr="008B720A">
        <w:rPr>
          <w:b/>
          <w:color w:val="FFFFFF"/>
          <w:sz w:val="28"/>
        </w:rPr>
        <w:t xml:space="preserve">Appendix </w:t>
      </w:r>
      <w:r w:rsidR="007473BE" w:rsidRPr="008B720A">
        <w:rPr>
          <w:b/>
          <w:color w:val="FFFFFF"/>
          <w:sz w:val="28"/>
        </w:rPr>
        <w:t>1</w:t>
      </w:r>
      <w:r w:rsidRPr="008B720A">
        <w:rPr>
          <w:b/>
          <w:color w:val="FFFFFF"/>
          <w:sz w:val="28"/>
        </w:rPr>
        <w:t xml:space="preserve"> - </w:t>
      </w:r>
      <w:r w:rsidR="00547990" w:rsidRPr="008B720A">
        <w:rPr>
          <w:b/>
          <w:color w:val="FFFFFF"/>
          <w:sz w:val="28"/>
        </w:rPr>
        <w:t xml:space="preserve">Questionnaire to </w:t>
      </w:r>
      <w:r w:rsidRPr="008B720A">
        <w:rPr>
          <w:b/>
          <w:color w:val="FFFFFF"/>
          <w:sz w:val="28"/>
        </w:rPr>
        <w:t xml:space="preserve">national </w:t>
      </w:r>
      <w:r w:rsidR="000B6327" w:rsidRPr="008B720A">
        <w:rPr>
          <w:b/>
          <w:color w:val="FFFFFF"/>
          <w:sz w:val="28"/>
        </w:rPr>
        <w:t xml:space="preserve">tax </w:t>
      </w:r>
      <w:r w:rsidRPr="008B720A">
        <w:rPr>
          <w:b/>
          <w:color w:val="FFFFFF"/>
          <w:sz w:val="28"/>
        </w:rPr>
        <w:t>experts</w:t>
      </w:r>
    </w:p>
    <w:p w:rsidR="00A06EB3" w:rsidRPr="008B720A" w:rsidRDefault="00A06EB3" w:rsidP="000C6B6F">
      <w:pPr>
        <w:jc w:val="center"/>
        <w:rPr>
          <w:b/>
          <w:color w:val="FFFFFF"/>
          <w:sz w:val="28"/>
        </w:rPr>
      </w:pPr>
      <w:r w:rsidRPr="008B720A">
        <w:rPr>
          <w:b/>
          <w:color w:val="FFFFFF"/>
          <w:sz w:val="28"/>
        </w:rPr>
        <w:t>Filled in for</w:t>
      </w:r>
      <w:r w:rsidR="00123FF5" w:rsidRPr="008B720A">
        <w:rPr>
          <w:b/>
          <w:color w:val="FFFFFF"/>
          <w:sz w:val="28"/>
        </w:rPr>
        <w:t xml:space="preserve"> Italy</w:t>
      </w:r>
    </w:p>
    <w:p w:rsidR="000C6B6F" w:rsidRPr="008B720A" w:rsidRDefault="004A34E3" w:rsidP="000C6B6F">
      <w:r>
        <w:rPr>
          <w:noProof/>
          <w:lang w:val="en-US" w:eastAsia="en-US"/>
        </w:rPr>
        <w:drawing>
          <wp:anchor distT="0" distB="0" distL="114300" distR="114300" simplePos="0" relativeHeight="251658752" behindDoc="1" locked="0" layoutInCell="1" allowOverlap="1">
            <wp:simplePos x="0" y="0"/>
            <wp:positionH relativeFrom="column">
              <wp:posOffset>2177415</wp:posOffset>
            </wp:positionH>
            <wp:positionV relativeFrom="paragraph">
              <wp:posOffset>106045</wp:posOffset>
            </wp:positionV>
            <wp:extent cx="1245235" cy="828675"/>
            <wp:effectExtent l="0" t="0" r="0" b="9525"/>
            <wp:wrapTight wrapText="bothSides">
              <wp:wrapPolygon edited="0">
                <wp:start x="0" y="0"/>
                <wp:lineTo x="0" y="21352"/>
                <wp:lineTo x="21148" y="21352"/>
                <wp:lineTo x="21148" y="0"/>
                <wp:lineTo x="0" y="0"/>
              </wp:wrapPolygon>
            </wp:wrapTight>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523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0C6B6F" w:rsidP="000C6B6F"/>
    <w:p w:rsidR="000C6B6F" w:rsidRPr="008B720A" w:rsidRDefault="004A34E3" w:rsidP="000C6B6F">
      <w:r>
        <w:rPr>
          <w:noProof/>
          <w:lang w:val="en-US" w:eastAsia="en-US"/>
        </w:rPr>
        <w:drawing>
          <wp:anchor distT="0" distB="0" distL="114300" distR="114300" simplePos="0" relativeHeight="251656704" behindDoc="0" locked="0" layoutInCell="1" allowOverlap="1">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rsidR="000C6B6F" w:rsidRPr="008B720A" w:rsidRDefault="000C6B6F" w:rsidP="000C6B6F"/>
    <w:p w:rsidR="000C6B6F" w:rsidRPr="008B720A" w:rsidRDefault="000C6B6F" w:rsidP="000C6B6F"/>
    <w:p w:rsidR="00B41BBD" w:rsidRPr="008B720A" w:rsidRDefault="00B41BBD" w:rsidP="00B41BBD">
      <w:pPr>
        <w:tabs>
          <w:tab w:val="left" w:pos="7500"/>
        </w:tabs>
        <w:rPr>
          <w:b/>
        </w:rPr>
      </w:pPr>
    </w:p>
    <w:p w:rsidR="00547990" w:rsidRPr="008B720A" w:rsidRDefault="004A34E3" w:rsidP="00547990">
      <w:pPr>
        <w:pBdr>
          <w:bottom w:val="single" w:sz="4" w:space="1" w:color="1F497D"/>
        </w:pBdr>
        <w:rPr>
          <w:b/>
          <w:color w:val="1F497D"/>
        </w:rPr>
      </w:pPr>
      <w:r>
        <w:rPr>
          <w:noProof/>
          <w:lang w:val="en-US" w:eastAsia="en-US"/>
        </w:rPr>
        <w:drawing>
          <wp:anchor distT="0" distB="0" distL="114300" distR="114300" simplePos="0" relativeHeight="251657728" behindDoc="0" locked="0" layoutInCell="1" allowOverlap="1">
            <wp:simplePos x="0" y="0"/>
            <wp:positionH relativeFrom="column">
              <wp:posOffset>3863340</wp:posOffset>
            </wp:positionH>
            <wp:positionV relativeFrom="paragraph">
              <wp:posOffset>102870</wp:posOffset>
            </wp:positionV>
            <wp:extent cx="2071370" cy="542925"/>
            <wp:effectExtent l="0" t="0" r="5080" b="9525"/>
            <wp:wrapNone/>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137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8B720A">
        <w:rPr>
          <w:b/>
          <w:color w:val="1F497D"/>
        </w:rPr>
        <w:br w:type="page"/>
      </w:r>
      <w:r w:rsidR="00F4731C" w:rsidRPr="008B720A">
        <w:rPr>
          <w:b/>
          <w:color w:val="1F497D"/>
        </w:rPr>
        <w:lastRenderedPageBreak/>
        <w:t>QUESTIONNAIRE</w:t>
      </w:r>
    </w:p>
    <w:p w:rsidR="00547990" w:rsidRPr="008B720A" w:rsidRDefault="00547990" w:rsidP="00547990"/>
    <w:p w:rsidR="00A06EB3" w:rsidRPr="008B720A" w:rsidRDefault="00123FF5" w:rsidP="00A06EB3">
      <w:pPr>
        <w:pBdr>
          <w:bottom w:val="single" w:sz="4" w:space="1" w:color="1F497D"/>
        </w:pBdr>
        <w:rPr>
          <w:b/>
          <w:color w:val="1F497D"/>
        </w:rPr>
      </w:pPr>
      <w:r w:rsidRPr="008B720A">
        <w:rPr>
          <w:b/>
          <w:color w:val="1F497D"/>
        </w:rPr>
        <w:t>Italy</w:t>
      </w:r>
    </w:p>
    <w:p w:rsidR="00A06EB3" w:rsidRPr="008B720A" w:rsidRDefault="00A06EB3" w:rsidP="00A06EB3">
      <w:pPr>
        <w:pStyle w:val="Heading2"/>
      </w:pPr>
      <w:r w:rsidRPr="008B720A">
        <w:t>Abbreviations</w:t>
      </w:r>
    </w:p>
    <w:p w:rsidR="00A06EB3" w:rsidRPr="008B720A" w:rsidRDefault="00BA6A51" w:rsidP="00A06EB3">
      <w:r w:rsidRPr="008B720A">
        <w:rPr>
          <w:b/>
        </w:rPr>
        <w:t xml:space="preserve">IRAP </w:t>
      </w:r>
      <w:r w:rsidRPr="008B720A">
        <w:t xml:space="preserve">= </w:t>
      </w:r>
      <w:proofErr w:type="spellStart"/>
      <w:r w:rsidRPr="008B720A">
        <w:t>Imposta</w:t>
      </w:r>
      <w:proofErr w:type="spellEnd"/>
      <w:r w:rsidRPr="008B720A">
        <w:t xml:space="preserve"> </w:t>
      </w:r>
      <w:proofErr w:type="spellStart"/>
      <w:r w:rsidRPr="008B720A">
        <w:t>Regionale</w:t>
      </w:r>
      <w:proofErr w:type="spellEnd"/>
      <w:r w:rsidRPr="008B720A">
        <w:t xml:space="preserve"> </w:t>
      </w:r>
      <w:proofErr w:type="spellStart"/>
      <w:r w:rsidRPr="008B720A">
        <w:t>sulle</w:t>
      </w:r>
      <w:proofErr w:type="spellEnd"/>
      <w:r w:rsidRPr="008B720A">
        <w:t xml:space="preserve"> </w:t>
      </w:r>
      <w:proofErr w:type="spellStart"/>
      <w:r w:rsidRPr="008B720A">
        <w:t>Attività</w:t>
      </w:r>
      <w:proofErr w:type="spellEnd"/>
      <w:r w:rsidRPr="008B720A">
        <w:t xml:space="preserve"> </w:t>
      </w:r>
      <w:proofErr w:type="spellStart"/>
      <w:r w:rsidRPr="008B720A">
        <w:t>Produttive</w:t>
      </w:r>
      <w:proofErr w:type="spellEnd"/>
      <w:r w:rsidRPr="008B720A">
        <w:t xml:space="preserve"> (Regional Tax on Productive Activities)</w:t>
      </w:r>
    </w:p>
    <w:p w:rsidR="00145C98" w:rsidRPr="008B720A" w:rsidRDefault="00145C98" w:rsidP="00A06EB3">
      <w:r w:rsidRPr="008B720A">
        <w:rPr>
          <w:b/>
        </w:rPr>
        <w:t>ITA</w:t>
      </w:r>
      <w:r w:rsidRPr="008B720A">
        <w:t xml:space="preserve"> = Income Tax Act (Presidential Decree 22 December 1986, n. 917)</w:t>
      </w:r>
    </w:p>
    <w:p w:rsidR="00A06EB3" w:rsidRPr="008B720A" w:rsidRDefault="001530FE" w:rsidP="00A06EB3">
      <w:r w:rsidRPr="008B720A">
        <w:rPr>
          <w:b/>
        </w:rPr>
        <w:t>MS</w:t>
      </w:r>
      <w:r w:rsidRPr="008B720A">
        <w:t xml:space="preserve"> = Member State</w:t>
      </w:r>
    </w:p>
    <w:p w:rsidR="00A06EB3" w:rsidRPr="008B720A" w:rsidRDefault="00A06EB3" w:rsidP="00547990"/>
    <w:p w:rsidR="00A06EB3" w:rsidRPr="008B720A" w:rsidRDefault="00A06EB3" w:rsidP="00547990"/>
    <w:p w:rsidR="00A06EB3" w:rsidRPr="008B720A" w:rsidRDefault="00A06EB3" w:rsidP="00547990"/>
    <w:tbl>
      <w:tblPr>
        <w:tblW w:w="0" w:type="auto"/>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Look w:val="04A0" w:firstRow="1" w:lastRow="0" w:firstColumn="1" w:lastColumn="0" w:noHBand="0" w:noVBand="1"/>
      </w:tblPr>
      <w:tblGrid>
        <w:gridCol w:w="5070"/>
        <w:gridCol w:w="3933"/>
      </w:tblGrid>
      <w:tr w:rsidR="00DB727D" w:rsidRPr="008B720A" w:rsidTr="00BA6A51">
        <w:tc>
          <w:tcPr>
            <w:tcW w:w="5070" w:type="dxa"/>
            <w:shd w:val="clear" w:color="auto" w:fill="1F497D"/>
          </w:tcPr>
          <w:p w:rsidR="0097352D" w:rsidRPr="008B720A" w:rsidRDefault="0097352D" w:rsidP="00F8230D">
            <w:pPr>
              <w:rPr>
                <w:rFonts w:eastAsia="Verdana"/>
                <w:b/>
                <w:bCs/>
                <w:color w:val="FFFFFF"/>
                <w:sz w:val="18"/>
                <w:szCs w:val="22"/>
              </w:rPr>
            </w:pPr>
            <w:r w:rsidRPr="008B720A">
              <w:rPr>
                <w:rFonts w:eastAsia="Verdana"/>
                <w:b/>
                <w:bCs/>
                <w:color w:val="FFFFFF"/>
                <w:sz w:val="18"/>
                <w:szCs w:val="22"/>
              </w:rPr>
              <w:t>Questions</w:t>
            </w:r>
          </w:p>
        </w:tc>
        <w:tc>
          <w:tcPr>
            <w:tcW w:w="3933" w:type="dxa"/>
            <w:shd w:val="clear" w:color="auto" w:fill="1F497D"/>
          </w:tcPr>
          <w:p w:rsidR="0097352D" w:rsidRPr="008B720A" w:rsidRDefault="0097352D" w:rsidP="00F8230D">
            <w:pPr>
              <w:rPr>
                <w:rFonts w:eastAsia="Verdana"/>
                <w:b/>
                <w:bCs/>
                <w:color w:val="FFFFFF"/>
                <w:sz w:val="18"/>
                <w:szCs w:val="22"/>
              </w:rPr>
            </w:pPr>
            <w:r w:rsidRPr="008B720A">
              <w:rPr>
                <w:rFonts w:eastAsia="Verdana"/>
                <w:b/>
                <w:bCs/>
                <w:color w:val="FFFFFF"/>
                <w:sz w:val="18"/>
                <w:szCs w:val="22"/>
              </w:rPr>
              <w:t>Answers</w:t>
            </w:r>
          </w:p>
        </w:tc>
      </w:tr>
      <w:tr w:rsidR="0097352D" w:rsidRPr="008B720A" w:rsidTr="00BA6A51">
        <w:tc>
          <w:tcPr>
            <w:tcW w:w="9003" w:type="dxa"/>
            <w:gridSpan w:val="2"/>
            <w:tcBorders>
              <w:top w:val="single" w:sz="8" w:space="0" w:color="A7D3F5"/>
              <w:bottom w:val="single" w:sz="8" w:space="0" w:color="A7D3F5"/>
            </w:tcBorders>
            <w:shd w:val="clear" w:color="auto" w:fill="C6D9F1"/>
          </w:tcPr>
          <w:p w:rsidR="0097352D" w:rsidRPr="008B720A" w:rsidRDefault="0097352D" w:rsidP="00F8230D">
            <w:pPr>
              <w:rPr>
                <w:rFonts w:eastAsia="Verdana"/>
                <w:b/>
                <w:bCs/>
                <w:sz w:val="18"/>
                <w:szCs w:val="22"/>
              </w:rPr>
            </w:pPr>
            <w:r w:rsidRPr="008B720A">
              <w:rPr>
                <w:rFonts w:eastAsia="Verdana"/>
                <w:b/>
                <w:bCs/>
                <w:i/>
                <w:sz w:val="16"/>
                <w:szCs w:val="16"/>
              </w:rPr>
              <w:t>Corporate tax rate</w:t>
            </w:r>
          </w:p>
        </w:tc>
      </w:tr>
      <w:tr w:rsidR="0026298E" w:rsidRPr="008B720A" w:rsidTr="00BA6A51">
        <w:tc>
          <w:tcPr>
            <w:tcW w:w="5070" w:type="dxa"/>
            <w:shd w:val="clear" w:color="auto" w:fill="auto"/>
          </w:tcPr>
          <w:p w:rsidR="0026298E" w:rsidRPr="008B720A" w:rsidRDefault="0026298E" w:rsidP="00BA6A51">
            <w:pPr>
              <w:pStyle w:val="ListNumber"/>
              <w:tabs>
                <w:tab w:val="clear" w:pos="284"/>
              </w:tabs>
              <w:ind w:left="340" w:hanging="340"/>
              <w:jc w:val="left"/>
              <w:rPr>
                <w:rFonts w:eastAsia="Verdana"/>
                <w:b/>
                <w:bCs/>
                <w:color w:val="auto"/>
                <w:sz w:val="18"/>
                <w:szCs w:val="22"/>
              </w:rPr>
            </w:pPr>
            <w:r w:rsidRPr="008B720A">
              <w:rPr>
                <w:rFonts w:eastAsia="Verdana"/>
                <w:bCs/>
                <w:color w:val="auto"/>
                <w:sz w:val="16"/>
                <w:szCs w:val="16"/>
              </w:rPr>
              <w:t>What is the standard rate of corporate income tax applicable for the fiscal year 2015?</w:t>
            </w:r>
          </w:p>
        </w:tc>
        <w:tc>
          <w:tcPr>
            <w:tcW w:w="3933" w:type="dxa"/>
            <w:shd w:val="clear" w:color="auto" w:fill="auto"/>
          </w:tcPr>
          <w:p w:rsidR="0026298E" w:rsidRPr="008B720A" w:rsidRDefault="00DB727D" w:rsidP="00DB727D">
            <w:pPr>
              <w:rPr>
                <w:rFonts w:eastAsia="Verdana"/>
                <w:color w:val="auto"/>
                <w:sz w:val="16"/>
                <w:szCs w:val="16"/>
              </w:rPr>
            </w:pPr>
            <w:r w:rsidRPr="008B720A">
              <w:rPr>
                <w:rFonts w:eastAsia="Verdana"/>
                <w:color w:val="auto"/>
                <w:sz w:val="16"/>
                <w:szCs w:val="16"/>
              </w:rPr>
              <w:t>27.5</w:t>
            </w:r>
            <w:r w:rsidR="00123FF5" w:rsidRPr="008B720A">
              <w:rPr>
                <w:rFonts w:eastAsia="Verdana"/>
                <w:color w:val="auto"/>
                <w:sz w:val="16"/>
                <w:szCs w:val="16"/>
              </w:rPr>
              <w:t>%</w:t>
            </w:r>
            <w:r w:rsidR="00145C98" w:rsidRPr="008B720A">
              <w:rPr>
                <w:rFonts w:eastAsia="Verdana"/>
                <w:color w:val="auto"/>
                <w:sz w:val="16"/>
                <w:szCs w:val="16"/>
              </w:rPr>
              <w:t xml:space="preserve"> (Article 77 ITA)</w:t>
            </w:r>
            <w:r w:rsidR="00123FF5" w:rsidRPr="008B720A">
              <w:rPr>
                <w:rFonts w:eastAsia="Verdana"/>
                <w:color w:val="auto"/>
                <w:sz w:val="16"/>
                <w:szCs w:val="16"/>
              </w:rPr>
              <w:t>.</w:t>
            </w:r>
          </w:p>
          <w:p w:rsidR="00DB727D" w:rsidRPr="008B720A" w:rsidRDefault="00DB727D" w:rsidP="00F3521B">
            <w:pPr>
              <w:rPr>
                <w:rFonts w:eastAsia="Verdana"/>
                <w:color w:val="auto"/>
                <w:sz w:val="16"/>
                <w:szCs w:val="16"/>
              </w:rPr>
            </w:pPr>
            <w:r w:rsidRPr="008B720A">
              <w:rPr>
                <w:rFonts w:eastAsia="Verdana"/>
                <w:color w:val="auto"/>
                <w:sz w:val="16"/>
                <w:szCs w:val="16"/>
              </w:rPr>
              <w:t>IRAP is not a tax on corporate income</w:t>
            </w:r>
            <w:r w:rsidR="0086047F" w:rsidRPr="008B720A">
              <w:rPr>
                <w:rFonts w:eastAsia="Verdana"/>
                <w:color w:val="auto"/>
                <w:sz w:val="16"/>
                <w:szCs w:val="16"/>
              </w:rPr>
              <w:t xml:space="preserve">, since it is levied on the value produced by the </w:t>
            </w:r>
            <w:r w:rsidR="00815D3D" w:rsidRPr="008B720A">
              <w:rPr>
                <w:rFonts w:eastAsia="Verdana"/>
                <w:color w:val="auto"/>
                <w:sz w:val="16"/>
                <w:szCs w:val="16"/>
              </w:rPr>
              <w:t xml:space="preserve">activities </w:t>
            </w:r>
            <w:r w:rsidR="0086047F" w:rsidRPr="008B720A">
              <w:rPr>
                <w:rFonts w:eastAsia="Verdana"/>
                <w:color w:val="auto"/>
                <w:sz w:val="16"/>
                <w:szCs w:val="16"/>
              </w:rPr>
              <w:t xml:space="preserve">carried out </w:t>
            </w:r>
            <w:r w:rsidR="00C5730C" w:rsidRPr="008B720A">
              <w:rPr>
                <w:rFonts w:eastAsia="Verdana"/>
                <w:color w:val="auto"/>
                <w:sz w:val="16"/>
                <w:szCs w:val="16"/>
              </w:rPr>
              <w:t xml:space="preserve">in Italy </w:t>
            </w:r>
            <w:r w:rsidR="0086047F" w:rsidRPr="008B720A">
              <w:rPr>
                <w:rFonts w:eastAsia="Verdana"/>
                <w:color w:val="auto"/>
                <w:sz w:val="16"/>
                <w:szCs w:val="16"/>
              </w:rPr>
              <w:t>by the taxable subject. Therefore, according to the Instructions to the Questionnaire, IRAP is out of the scope of the Italian corporate income tax system.</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83DFA" w:rsidRPr="008B720A" w:rsidRDefault="00983DFA" w:rsidP="00BA6A51">
            <w:pPr>
              <w:pStyle w:val="ListNumber"/>
              <w:tabs>
                <w:tab w:val="clear" w:pos="284"/>
              </w:tabs>
              <w:ind w:left="340" w:hanging="340"/>
              <w:jc w:val="left"/>
              <w:rPr>
                <w:rFonts w:eastAsia="Verdana"/>
                <w:b/>
                <w:bCs/>
                <w:color w:val="auto"/>
                <w:sz w:val="18"/>
                <w:szCs w:val="22"/>
              </w:rPr>
            </w:pPr>
            <w:r w:rsidRPr="008B720A">
              <w:rPr>
                <w:rFonts w:eastAsia="Verdana"/>
                <w:bCs/>
                <w:color w:val="auto"/>
                <w:sz w:val="16"/>
                <w:szCs w:val="16"/>
              </w:rPr>
              <w:t xml:space="preserve">Some states offer special offshore tax regimes, providing for corporate tax-exemption of certain mobile income types (e.g. royalty) from abroad. </w:t>
            </w:r>
            <w:proofErr w:type="gramStart"/>
            <w:r w:rsidRPr="008B720A">
              <w:rPr>
                <w:rFonts w:eastAsia="Verdana"/>
                <w:bCs/>
                <w:color w:val="auto"/>
                <w:sz w:val="16"/>
                <w:szCs w:val="16"/>
              </w:rPr>
              <w:t>Does</w:t>
            </w:r>
            <w:proofErr w:type="gramEnd"/>
            <w:r w:rsidRPr="008B720A">
              <w:rPr>
                <w:rFonts w:eastAsia="Verdana"/>
                <w:bCs/>
                <w:color w:val="auto"/>
                <w:sz w:val="16"/>
                <w:szCs w:val="16"/>
              </w:rPr>
              <w:t xml:space="preserve"> your MS offer such a tax regime? If yes, please briefly explain, including the conditions to be met.</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5237A0" w:rsidP="00123FF5">
            <w:pPr>
              <w:rPr>
                <w:rFonts w:eastAsia="Verdana"/>
                <w:color w:val="auto"/>
                <w:sz w:val="16"/>
                <w:szCs w:val="16"/>
              </w:rPr>
            </w:pPr>
            <w:r w:rsidRPr="008B720A">
              <w:rPr>
                <w:rFonts w:eastAsia="Verdana"/>
                <w:color w:val="auto"/>
                <w:sz w:val="16"/>
                <w:szCs w:val="16"/>
              </w:rPr>
              <w:t>No.</w:t>
            </w:r>
          </w:p>
        </w:tc>
      </w:tr>
      <w:tr w:rsidR="0097352D" w:rsidRPr="008B720A" w:rsidTr="00BA6A51">
        <w:tc>
          <w:tcPr>
            <w:tcW w:w="9003" w:type="dxa"/>
            <w:gridSpan w:val="2"/>
            <w:shd w:val="clear" w:color="auto" w:fill="C6D9F1"/>
          </w:tcPr>
          <w:p w:rsidR="0097352D" w:rsidRPr="008B720A" w:rsidRDefault="0097352D" w:rsidP="00427661">
            <w:pPr>
              <w:rPr>
                <w:rFonts w:eastAsia="Verdana"/>
                <w:b/>
                <w:bCs/>
                <w:color w:val="auto"/>
                <w:sz w:val="18"/>
                <w:szCs w:val="22"/>
              </w:rPr>
            </w:pPr>
            <w:r w:rsidRPr="008B720A">
              <w:rPr>
                <w:rFonts w:eastAsia="Verdana"/>
                <w:b/>
                <w:bCs/>
                <w:i/>
                <w:color w:val="auto"/>
                <w:sz w:val="16"/>
                <w:szCs w:val="16"/>
              </w:rPr>
              <w:t>Dividends received</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Is it possible for a company in your MS to receive dividends from a foreign company free of tax (or at a greatly reduced rate of tax</w:t>
            </w:r>
            <w:r w:rsidR="00A30052" w:rsidRPr="008B720A">
              <w:rPr>
                <w:rFonts w:eastAsia="Verdana"/>
                <w:bCs/>
                <w:color w:val="auto"/>
                <w:sz w:val="16"/>
                <w:szCs w:val="16"/>
              </w:rPr>
              <w:t>, e.g. 95% tax-exemption</w:t>
            </w:r>
            <w:r w:rsidRPr="008B720A">
              <w:rPr>
                <w:rFonts w:eastAsia="Verdana"/>
                <w:bCs/>
                <w:color w:val="auto"/>
                <w:sz w:val="16"/>
                <w:szCs w:val="16"/>
              </w:rPr>
              <w:t>)?</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Yes, 95% of distributed dividends are subject to a tax exemption</w:t>
            </w:r>
            <w:r w:rsidR="00145C98" w:rsidRPr="008B720A">
              <w:rPr>
                <w:rFonts w:eastAsia="Verdana"/>
                <w:color w:val="auto"/>
                <w:sz w:val="16"/>
                <w:szCs w:val="16"/>
              </w:rPr>
              <w:t xml:space="preserve"> (Article 89(2) ITA)</w:t>
            </w:r>
            <w:r w:rsidRPr="008B720A">
              <w:rPr>
                <w:rFonts w:eastAsia="Verdana"/>
                <w:color w:val="auto"/>
                <w:sz w:val="16"/>
                <w:szCs w:val="16"/>
              </w:rPr>
              <w:t>.</w:t>
            </w:r>
          </w:p>
          <w:p w:rsidR="0097352D" w:rsidRPr="008B720A" w:rsidRDefault="0097352D" w:rsidP="00427661">
            <w:pPr>
              <w:rPr>
                <w:rFonts w:eastAsia="Verdana"/>
                <w:color w:val="auto"/>
                <w:sz w:val="16"/>
                <w:szCs w:val="16"/>
              </w:rPr>
            </w:pPr>
          </w:p>
        </w:tc>
      </w:tr>
      <w:tr w:rsidR="0097352D" w:rsidRPr="008B720A" w:rsidTr="00BA6A51">
        <w:tc>
          <w:tcPr>
            <w:tcW w:w="5070" w:type="dxa"/>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 xml:space="preserve">If yes to question </w:t>
            </w:r>
            <w:r w:rsidR="003A6F57" w:rsidRPr="008B720A">
              <w:rPr>
                <w:rFonts w:eastAsia="Verdana"/>
                <w:bCs/>
                <w:color w:val="auto"/>
                <w:sz w:val="16"/>
                <w:szCs w:val="16"/>
              </w:rPr>
              <w:t>3</w:t>
            </w:r>
            <w:r w:rsidRPr="008B720A">
              <w:rPr>
                <w:rFonts w:eastAsia="Verdana"/>
                <w:bCs/>
                <w:color w:val="auto"/>
                <w:sz w:val="16"/>
                <w:szCs w:val="16"/>
              </w:rPr>
              <w:t>:</w:t>
            </w:r>
          </w:p>
        </w:tc>
        <w:tc>
          <w:tcPr>
            <w:tcW w:w="3933" w:type="dxa"/>
            <w:shd w:val="clear" w:color="auto" w:fill="auto"/>
          </w:tcPr>
          <w:p w:rsidR="0097352D" w:rsidRPr="008B720A" w:rsidRDefault="0097352D" w:rsidP="00427661">
            <w:pPr>
              <w:rPr>
                <w:rFonts w:eastAsia="Verdana"/>
                <w:color w:val="auto"/>
                <w:sz w:val="16"/>
                <w:szCs w:val="16"/>
              </w:rPr>
            </w:pPr>
          </w:p>
        </w:tc>
      </w:tr>
      <w:tr w:rsidR="00455A2B" w:rsidRPr="008B720A" w:rsidTr="00BA6A51">
        <w:tc>
          <w:tcPr>
            <w:tcW w:w="5070" w:type="dxa"/>
            <w:tcBorders>
              <w:top w:val="single" w:sz="8" w:space="0" w:color="A7D3F5"/>
              <w:left w:val="single" w:sz="8" w:space="0" w:color="A7D3F5"/>
              <w:bottom w:val="single" w:sz="8" w:space="0" w:color="A7D3F5"/>
            </w:tcBorders>
            <w:shd w:val="clear" w:color="auto" w:fill="auto"/>
          </w:tcPr>
          <w:p w:rsidR="00455A2B" w:rsidRPr="008B720A" w:rsidRDefault="00455A2B" w:rsidP="00BA6A51">
            <w:pPr>
              <w:pStyle w:val="ColorfulShading-Accent31"/>
              <w:numPr>
                <w:ilvl w:val="0"/>
                <w:numId w:val="20"/>
              </w:numPr>
              <w:spacing w:line="240" w:lineRule="auto"/>
              <w:jc w:val="left"/>
              <w:rPr>
                <w:rFonts w:eastAsia="Verdana"/>
                <w:b/>
                <w:bCs/>
                <w:sz w:val="16"/>
                <w:szCs w:val="16"/>
              </w:rPr>
            </w:pPr>
            <w:r w:rsidRPr="008B720A">
              <w:rPr>
                <w:rFonts w:eastAsia="Verdana"/>
                <w:bCs/>
                <w:sz w:val="16"/>
                <w:szCs w:val="16"/>
              </w:rPr>
              <w:t>Does this apply regardless of the tax residence of the distributing company, e.g. Member State, treaty state, tax haven?</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07473B" w:rsidP="00123FF5">
            <w:pPr>
              <w:rPr>
                <w:rFonts w:eastAsia="Verdana"/>
                <w:color w:val="auto"/>
                <w:sz w:val="16"/>
                <w:szCs w:val="16"/>
              </w:rPr>
            </w:pPr>
            <w:r w:rsidRPr="008B720A">
              <w:rPr>
                <w:rFonts w:eastAsia="Verdana"/>
                <w:color w:val="auto"/>
                <w:sz w:val="16"/>
                <w:szCs w:val="16"/>
              </w:rPr>
              <w:t xml:space="preserve">The </w:t>
            </w:r>
            <w:r w:rsidR="00F3521B" w:rsidRPr="008B720A">
              <w:rPr>
                <w:rFonts w:eastAsia="Verdana"/>
                <w:color w:val="auto"/>
                <w:sz w:val="16"/>
                <w:szCs w:val="16"/>
              </w:rPr>
              <w:t xml:space="preserve">95% </w:t>
            </w:r>
            <w:r w:rsidRPr="008B720A">
              <w:rPr>
                <w:rFonts w:eastAsia="Verdana"/>
                <w:color w:val="auto"/>
                <w:sz w:val="16"/>
                <w:szCs w:val="16"/>
              </w:rPr>
              <w:t>exemption only applies</w:t>
            </w:r>
            <w:r w:rsidR="00123FF5" w:rsidRPr="008B720A">
              <w:rPr>
                <w:rFonts w:eastAsia="Verdana"/>
                <w:color w:val="auto"/>
                <w:sz w:val="16"/>
                <w:szCs w:val="16"/>
              </w:rPr>
              <w:t xml:space="preserve"> if dividend</w:t>
            </w:r>
            <w:r w:rsidR="00F3521B" w:rsidRPr="008B720A">
              <w:rPr>
                <w:rFonts w:eastAsia="Verdana"/>
                <w:color w:val="auto"/>
                <w:sz w:val="16"/>
                <w:szCs w:val="16"/>
              </w:rPr>
              <w:t>s do not derive</w:t>
            </w:r>
            <w:r w:rsidR="00123FF5" w:rsidRPr="008B720A">
              <w:rPr>
                <w:rFonts w:eastAsia="Verdana"/>
                <w:color w:val="auto"/>
                <w:sz w:val="16"/>
                <w:szCs w:val="16"/>
              </w:rPr>
              <w:t xml:space="preserve"> from a company resident in a low-tax jurisdiction</w:t>
            </w:r>
            <w:r w:rsidRPr="008B720A">
              <w:rPr>
                <w:rFonts w:eastAsia="Verdana"/>
                <w:color w:val="auto"/>
                <w:sz w:val="16"/>
                <w:szCs w:val="16"/>
              </w:rPr>
              <w:t xml:space="preserve"> included in the CFC black list.</w:t>
            </w:r>
            <w:r w:rsidR="00123FF5" w:rsidRPr="008B720A">
              <w:rPr>
                <w:rFonts w:eastAsia="Verdana"/>
                <w:color w:val="auto"/>
                <w:sz w:val="16"/>
                <w:szCs w:val="16"/>
              </w:rPr>
              <w:t xml:space="preserve"> </w:t>
            </w:r>
            <w:r w:rsidRPr="008B720A">
              <w:rPr>
                <w:rFonts w:eastAsia="Verdana"/>
                <w:color w:val="auto"/>
                <w:sz w:val="16"/>
                <w:szCs w:val="16"/>
              </w:rPr>
              <w:t>I</w:t>
            </w:r>
            <w:r w:rsidR="00123FF5" w:rsidRPr="008B720A">
              <w:rPr>
                <w:rFonts w:eastAsia="Verdana"/>
                <w:color w:val="auto"/>
                <w:sz w:val="16"/>
                <w:szCs w:val="16"/>
              </w:rPr>
              <w:t xml:space="preserve">n this latter case, </w:t>
            </w:r>
            <w:r w:rsidRPr="008B720A">
              <w:rPr>
                <w:rFonts w:eastAsia="Verdana"/>
                <w:color w:val="auto"/>
                <w:sz w:val="16"/>
                <w:szCs w:val="16"/>
              </w:rPr>
              <w:t xml:space="preserve">the exemption however applies if </w:t>
            </w:r>
            <w:r w:rsidR="00123FF5" w:rsidRPr="008B720A">
              <w:rPr>
                <w:rFonts w:eastAsia="Verdana"/>
                <w:color w:val="auto"/>
                <w:sz w:val="16"/>
                <w:szCs w:val="16"/>
              </w:rPr>
              <w:t>the recipient has demonstrated (and obtained a ruling thereon) that the holding of the shares in the non-resident company has not achieved the</w:t>
            </w:r>
            <w:r w:rsidR="006A7E30" w:rsidRPr="008B720A">
              <w:rPr>
                <w:rFonts w:eastAsia="Verdana"/>
                <w:color w:val="auto"/>
                <w:sz w:val="16"/>
                <w:szCs w:val="16"/>
              </w:rPr>
              <w:t xml:space="preserve"> object of</w:t>
            </w:r>
            <w:r w:rsidR="00123FF5" w:rsidRPr="008B720A">
              <w:rPr>
                <w:rFonts w:eastAsia="Verdana"/>
                <w:color w:val="auto"/>
                <w:sz w:val="16"/>
                <w:szCs w:val="16"/>
              </w:rPr>
              <w:t xml:space="preserve"> localiz</w:t>
            </w:r>
            <w:r w:rsidR="006A7E30" w:rsidRPr="008B720A">
              <w:rPr>
                <w:rFonts w:eastAsia="Verdana"/>
                <w:color w:val="auto"/>
                <w:sz w:val="16"/>
                <w:szCs w:val="16"/>
              </w:rPr>
              <w:t>ing</w:t>
            </w:r>
            <w:r w:rsidR="00123FF5" w:rsidRPr="008B720A">
              <w:rPr>
                <w:rFonts w:eastAsia="Verdana"/>
                <w:color w:val="auto"/>
                <w:sz w:val="16"/>
                <w:szCs w:val="16"/>
              </w:rPr>
              <w:t xml:space="preserve"> </w:t>
            </w:r>
            <w:r w:rsidR="006A7E30" w:rsidRPr="008B720A">
              <w:rPr>
                <w:rFonts w:eastAsia="Verdana"/>
                <w:color w:val="auto"/>
                <w:sz w:val="16"/>
                <w:szCs w:val="16"/>
              </w:rPr>
              <w:t>the</w:t>
            </w:r>
            <w:r w:rsidR="00123FF5" w:rsidRPr="008B720A">
              <w:rPr>
                <w:rFonts w:eastAsia="Verdana"/>
                <w:color w:val="auto"/>
                <w:sz w:val="16"/>
                <w:szCs w:val="16"/>
              </w:rPr>
              <w:t xml:space="preserve"> income in a low-tax jurisdiction</w:t>
            </w:r>
            <w:r w:rsidR="00145C98" w:rsidRPr="008B720A">
              <w:rPr>
                <w:rFonts w:eastAsia="Verdana"/>
                <w:color w:val="auto"/>
                <w:sz w:val="16"/>
                <w:szCs w:val="16"/>
              </w:rPr>
              <w:t xml:space="preserve"> (Article 89(3) ITA)</w:t>
            </w:r>
            <w:r w:rsidR="00123FF5" w:rsidRPr="008B720A">
              <w:rPr>
                <w:rFonts w:eastAsia="Verdana"/>
                <w:color w:val="auto"/>
                <w:sz w:val="16"/>
                <w:szCs w:val="16"/>
              </w:rPr>
              <w:t>.</w:t>
            </w:r>
          </w:p>
          <w:p w:rsidR="00123FF5" w:rsidRPr="008B720A" w:rsidRDefault="00123FF5" w:rsidP="00123FF5">
            <w:pPr>
              <w:rPr>
                <w:rFonts w:eastAsia="Verdana"/>
                <w:color w:val="auto"/>
                <w:sz w:val="16"/>
                <w:szCs w:val="16"/>
              </w:rPr>
            </w:pPr>
          </w:p>
          <w:p w:rsidR="00123FF5" w:rsidRPr="008B720A" w:rsidRDefault="00123FF5" w:rsidP="00BA6A51">
            <w:pPr>
              <w:autoSpaceDE w:val="0"/>
              <w:autoSpaceDN w:val="0"/>
              <w:adjustRightInd w:val="0"/>
              <w:rPr>
                <w:rFonts w:eastAsia="Verdana"/>
                <w:color w:val="auto"/>
                <w:sz w:val="16"/>
                <w:szCs w:val="16"/>
              </w:rPr>
            </w:pPr>
            <w:r w:rsidRPr="008B720A">
              <w:rPr>
                <w:rFonts w:eastAsia="Verdana"/>
                <w:color w:val="auto"/>
                <w:sz w:val="16"/>
                <w:szCs w:val="16"/>
              </w:rPr>
              <w:t>The Italian tax authorities clarified (c</w:t>
            </w:r>
            <w:r w:rsidR="009C1BED" w:rsidRPr="008B720A">
              <w:rPr>
                <w:rFonts w:eastAsia="Verdana"/>
                <w:color w:val="auto"/>
                <w:sz w:val="16"/>
                <w:szCs w:val="16"/>
              </w:rPr>
              <w:t>ircular letter n.</w:t>
            </w:r>
            <w:r w:rsidRPr="008B720A">
              <w:rPr>
                <w:rFonts w:eastAsia="Verdana"/>
                <w:color w:val="auto"/>
                <w:sz w:val="16"/>
                <w:szCs w:val="16"/>
              </w:rPr>
              <w:t xml:space="preserve"> 51/E/2010) that in order to avoid the artificial triangular scheme, dividends distributed by an EU subsidiary, which may in principle benefit from the Parent-Subsidiary Directive (90/435), are</w:t>
            </w:r>
            <w:r w:rsidR="000C7B99" w:rsidRPr="008B720A">
              <w:rPr>
                <w:rFonts w:eastAsia="Verdana"/>
                <w:color w:val="auto"/>
                <w:sz w:val="16"/>
                <w:szCs w:val="16"/>
              </w:rPr>
              <w:t xml:space="preserve"> wholly</w:t>
            </w:r>
            <w:r w:rsidRPr="008B720A">
              <w:rPr>
                <w:rFonts w:eastAsia="Verdana"/>
                <w:color w:val="auto"/>
                <w:sz w:val="16"/>
                <w:szCs w:val="16"/>
              </w:rPr>
              <w:t xml:space="preserve"> taxable in Italy if:</w:t>
            </w:r>
          </w:p>
          <w:p w:rsidR="00123FF5" w:rsidRPr="008B720A" w:rsidRDefault="00123FF5" w:rsidP="00BA6A51">
            <w:pPr>
              <w:numPr>
                <w:ilvl w:val="0"/>
                <w:numId w:val="31"/>
              </w:numPr>
              <w:ind w:left="459"/>
              <w:rPr>
                <w:rFonts w:eastAsia="Verdana"/>
                <w:color w:val="auto"/>
                <w:sz w:val="16"/>
                <w:szCs w:val="16"/>
              </w:rPr>
            </w:pPr>
            <w:r w:rsidRPr="008B720A">
              <w:rPr>
                <w:rFonts w:eastAsia="Verdana"/>
                <w:color w:val="auto"/>
                <w:sz w:val="16"/>
                <w:szCs w:val="16"/>
              </w:rPr>
              <w:t>Such dividends are derived (fully or partially) from a low-tax jurisdiction included in the CFC black list; and</w:t>
            </w:r>
          </w:p>
          <w:p w:rsidR="00123FF5" w:rsidRPr="008B720A" w:rsidRDefault="00123FF5" w:rsidP="00BA6A51">
            <w:pPr>
              <w:numPr>
                <w:ilvl w:val="0"/>
                <w:numId w:val="31"/>
              </w:numPr>
              <w:ind w:left="459"/>
              <w:rPr>
                <w:rFonts w:eastAsia="Verdana"/>
                <w:color w:val="auto"/>
                <w:sz w:val="16"/>
                <w:szCs w:val="16"/>
              </w:rPr>
            </w:pPr>
            <w:r w:rsidRPr="008B720A">
              <w:rPr>
                <w:rFonts w:eastAsia="Verdana"/>
                <w:color w:val="auto"/>
                <w:sz w:val="16"/>
                <w:szCs w:val="16"/>
              </w:rPr>
              <w:t xml:space="preserve">The holding of shares in the foreign company through the EU </w:t>
            </w:r>
            <w:proofErr w:type="gramStart"/>
            <w:r w:rsidRPr="008B720A">
              <w:rPr>
                <w:rFonts w:eastAsia="Verdana"/>
                <w:color w:val="auto"/>
                <w:sz w:val="16"/>
                <w:szCs w:val="16"/>
              </w:rPr>
              <w:t>company</w:t>
            </w:r>
            <w:proofErr w:type="gramEnd"/>
            <w:r w:rsidRPr="008B720A">
              <w:rPr>
                <w:rFonts w:eastAsia="Verdana"/>
                <w:color w:val="auto"/>
                <w:sz w:val="16"/>
                <w:szCs w:val="16"/>
              </w:rPr>
              <w:t xml:space="preserve"> is aimed at avoiding the less </w:t>
            </w:r>
            <w:r w:rsidR="009C1BED" w:rsidRPr="008B720A">
              <w:rPr>
                <w:rFonts w:eastAsia="Verdana"/>
                <w:color w:val="auto"/>
                <w:sz w:val="16"/>
                <w:szCs w:val="16"/>
              </w:rPr>
              <w:t>favourable</w:t>
            </w:r>
            <w:r w:rsidRPr="008B720A">
              <w:rPr>
                <w:rFonts w:eastAsia="Verdana"/>
                <w:color w:val="auto"/>
                <w:sz w:val="16"/>
                <w:szCs w:val="16"/>
              </w:rPr>
              <w:t xml:space="preserve"> tax regime.</w:t>
            </w:r>
          </w:p>
          <w:p w:rsidR="00455A2B" w:rsidRPr="008B720A" w:rsidRDefault="00123FF5" w:rsidP="009C1BED">
            <w:pPr>
              <w:autoSpaceDE w:val="0"/>
              <w:autoSpaceDN w:val="0"/>
              <w:adjustRightInd w:val="0"/>
              <w:rPr>
                <w:rFonts w:eastAsia="Verdana"/>
                <w:color w:val="auto"/>
                <w:sz w:val="16"/>
                <w:szCs w:val="16"/>
              </w:rPr>
            </w:pPr>
            <w:r w:rsidRPr="008B720A">
              <w:rPr>
                <w:rFonts w:eastAsia="Verdana"/>
                <w:color w:val="auto"/>
                <w:sz w:val="16"/>
                <w:szCs w:val="16"/>
              </w:rPr>
              <w:t>The presence of such an abusive triangular scheme must be ascertained by using a case-by-case approach.</w:t>
            </w:r>
          </w:p>
        </w:tc>
      </w:tr>
      <w:tr w:rsidR="0097352D" w:rsidRPr="008B720A" w:rsidTr="00BA6A51">
        <w:tc>
          <w:tcPr>
            <w:tcW w:w="5070" w:type="dxa"/>
            <w:shd w:val="clear" w:color="auto" w:fill="auto"/>
          </w:tcPr>
          <w:p w:rsidR="0097352D" w:rsidRPr="008B720A" w:rsidRDefault="0097352D" w:rsidP="00BA6A51">
            <w:pPr>
              <w:pStyle w:val="ColorfulShading-Accent31"/>
              <w:numPr>
                <w:ilvl w:val="0"/>
                <w:numId w:val="20"/>
              </w:numPr>
              <w:spacing w:line="240" w:lineRule="auto"/>
              <w:jc w:val="left"/>
              <w:rPr>
                <w:rFonts w:eastAsia="Verdana"/>
                <w:b/>
                <w:bCs/>
                <w:sz w:val="16"/>
                <w:szCs w:val="16"/>
              </w:rPr>
            </w:pPr>
            <w:r w:rsidRPr="008B720A">
              <w:rPr>
                <w:rFonts w:eastAsia="Verdana"/>
                <w:bCs/>
                <w:sz w:val="16"/>
                <w:szCs w:val="16"/>
              </w:rPr>
              <w:t xml:space="preserve">Does this apply regardless of the level of shareholding or voting rights held in the distributing company?  </w:t>
            </w:r>
          </w:p>
        </w:tc>
        <w:tc>
          <w:tcPr>
            <w:tcW w:w="3933" w:type="dxa"/>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 xml:space="preserve">The </w:t>
            </w:r>
            <w:r w:rsidR="005A0B07" w:rsidRPr="008B720A">
              <w:rPr>
                <w:rFonts w:eastAsia="Verdana"/>
                <w:color w:val="auto"/>
                <w:sz w:val="16"/>
                <w:szCs w:val="16"/>
              </w:rPr>
              <w:t xml:space="preserve">95% </w:t>
            </w:r>
            <w:r w:rsidRPr="008B720A">
              <w:rPr>
                <w:rFonts w:eastAsia="Verdana"/>
                <w:color w:val="auto"/>
                <w:sz w:val="16"/>
                <w:szCs w:val="16"/>
              </w:rPr>
              <w:t xml:space="preserve">exemption is not subject to </w:t>
            </w:r>
            <w:r w:rsidR="00440A7E" w:rsidRPr="008B720A">
              <w:rPr>
                <w:rFonts w:eastAsia="Verdana"/>
                <w:color w:val="auto"/>
                <w:sz w:val="16"/>
                <w:szCs w:val="16"/>
              </w:rPr>
              <w:t>any minimum holding requirement</w:t>
            </w:r>
            <w:r w:rsidRPr="008B720A">
              <w:rPr>
                <w:rFonts w:eastAsia="Verdana"/>
                <w:color w:val="auto"/>
                <w:sz w:val="16"/>
                <w:szCs w:val="16"/>
              </w:rPr>
              <w:t>.</w:t>
            </w:r>
          </w:p>
          <w:p w:rsidR="0097352D" w:rsidRPr="008B720A" w:rsidRDefault="0097352D" w:rsidP="00123FF5">
            <w:pPr>
              <w:rPr>
                <w:rFonts w:eastAsia="Verdana"/>
                <w:sz w:val="16"/>
                <w:szCs w:val="16"/>
              </w:rPr>
            </w:pP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ColorfulShading-Accent31"/>
              <w:numPr>
                <w:ilvl w:val="0"/>
                <w:numId w:val="20"/>
              </w:numPr>
              <w:spacing w:line="240" w:lineRule="auto"/>
              <w:jc w:val="left"/>
              <w:rPr>
                <w:rFonts w:eastAsia="Verdana"/>
                <w:b/>
                <w:bCs/>
                <w:sz w:val="16"/>
                <w:szCs w:val="16"/>
              </w:rPr>
            </w:pPr>
            <w:r w:rsidRPr="008B720A">
              <w:rPr>
                <w:rFonts w:eastAsia="Verdana"/>
                <w:bCs/>
                <w:sz w:val="16"/>
                <w:szCs w:val="16"/>
              </w:rPr>
              <w:t>Does this also apply if the dividends have been deducted by the distributing company in its taxable income?</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123FF5" w:rsidP="006A7E30">
            <w:pPr>
              <w:rPr>
                <w:rFonts w:eastAsia="Verdana"/>
                <w:color w:val="auto"/>
                <w:sz w:val="16"/>
                <w:szCs w:val="16"/>
              </w:rPr>
            </w:pPr>
            <w:r w:rsidRPr="008B720A">
              <w:rPr>
                <w:rFonts w:eastAsia="Verdana"/>
                <w:color w:val="auto"/>
                <w:sz w:val="16"/>
                <w:szCs w:val="16"/>
              </w:rPr>
              <w:t xml:space="preserve">No, the exemption only applies if the dividends </w:t>
            </w:r>
            <w:r w:rsidR="006A7E30" w:rsidRPr="008B720A">
              <w:rPr>
                <w:rFonts w:eastAsia="Verdana"/>
                <w:color w:val="auto"/>
                <w:sz w:val="16"/>
                <w:szCs w:val="16"/>
              </w:rPr>
              <w:t>are not deductible in the State of residence of the distributing company</w:t>
            </w:r>
            <w:r w:rsidR="00145C98" w:rsidRPr="008B720A">
              <w:rPr>
                <w:rFonts w:eastAsia="Verdana"/>
                <w:color w:val="auto"/>
                <w:sz w:val="16"/>
                <w:szCs w:val="16"/>
              </w:rPr>
              <w:t xml:space="preserve"> (Article </w:t>
            </w:r>
            <w:r w:rsidR="00145C98" w:rsidRPr="008B720A">
              <w:rPr>
                <w:rFonts w:eastAsia="Verdana"/>
                <w:color w:val="auto"/>
                <w:sz w:val="16"/>
                <w:szCs w:val="16"/>
              </w:rPr>
              <w:lastRenderedPageBreak/>
              <w:t>89(3) ITA)</w:t>
            </w:r>
            <w:r w:rsidRPr="008B720A">
              <w:rPr>
                <w:rFonts w:eastAsia="Verdana"/>
                <w:color w:val="auto"/>
                <w:sz w:val="16"/>
                <w:szCs w:val="16"/>
              </w:rPr>
              <w:t>.</w:t>
            </w:r>
          </w:p>
        </w:tc>
      </w:tr>
      <w:tr w:rsidR="0097352D" w:rsidRPr="008B720A" w:rsidTr="00BA6A51">
        <w:tc>
          <w:tcPr>
            <w:tcW w:w="5070" w:type="dxa"/>
            <w:shd w:val="clear" w:color="auto" w:fill="auto"/>
          </w:tcPr>
          <w:p w:rsidR="0097352D" w:rsidRPr="008B720A" w:rsidRDefault="00946523" w:rsidP="00704F32">
            <w:pPr>
              <w:pStyle w:val="ColorfulShading-Accent31"/>
              <w:numPr>
                <w:ilvl w:val="0"/>
                <w:numId w:val="20"/>
              </w:numPr>
              <w:spacing w:line="240" w:lineRule="auto"/>
              <w:jc w:val="left"/>
              <w:rPr>
                <w:rFonts w:eastAsia="Verdana"/>
                <w:b/>
                <w:bCs/>
                <w:sz w:val="16"/>
                <w:szCs w:val="16"/>
              </w:rPr>
            </w:pPr>
            <w:r w:rsidRPr="008B720A">
              <w:rPr>
                <w:rFonts w:eastAsia="Verdana"/>
                <w:bCs/>
                <w:sz w:val="16"/>
                <w:szCs w:val="16"/>
              </w:rPr>
              <w:lastRenderedPageBreak/>
              <w:t xml:space="preserve">If yes to b, how will the recent amendment of Article 4 of the EU Parent/Subsidiary </w:t>
            </w:r>
            <w:r w:rsidR="00A30052" w:rsidRPr="008B720A">
              <w:rPr>
                <w:rFonts w:eastAsia="Verdana"/>
                <w:bCs/>
                <w:sz w:val="16"/>
                <w:szCs w:val="16"/>
              </w:rPr>
              <w:t>Directive, which</w:t>
            </w:r>
            <w:r w:rsidRPr="008B720A">
              <w:rPr>
                <w:rFonts w:eastAsia="Verdana"/>
                <w:bCs/>
                <w:sz w:val="16"/>
                <w:szCs w:val="16"/>
              </w:rPr>
              <w:t xml:space="preserve"> requires Member States to tax dividends if they have been deducted by the subsidiary, affect your answer?</w:t>
            </w:r>
          </w:p>
        </w:tc>
        <w:tc>
          <w:tcPr>
            <w:tcW w:w="3933" w:type="dxa"/>
            <w:shd w:val="clear" w:color="auto" w:fill="auto"/>
          </w:tcPr>
          <w:p w:rsidR="0097352D" w:rsidRPr="008B720A" w:rsidRDefault="00123FF5" w:rsidP="00815D3D">
            <w:pPr>
              <w:rPr>
                <w:rFonts w:eastAsia="Verdana"/>
                <w:color w:val="auto"/>
                <w:sz w:val="16"/>
                <w:szCs w:val="16"/>
              </w:rPr>
            </w:pPr>
            <w:r w:rsidRPr="008B720A">
              <w:rPr>
                <w:rFonts w:eastAsia="Verdana"/>
                <w:color w:val="auto"/>
                <w:sz w:val="16"/>
                <w:szCs w:val="16"/>
              </w:rPr>
              <w:t>The rule introduced by the amendments is already part of Italian law.</w:t>
            </w:r>
          </w:p>
        </w:tc>
      </w:tr>
      <w:tr w:rsidR="0097352D" w:rsidRPr="008B720A" w:rsidTr="00BA6A51">
        <w:tc>
          <w:tcPr>
            <w:tcW w:w="9003" w:type="dxa"/>
            <w:gridSpan w:val="2"/>
            <w:tcBorders>
              <w:top w:val="single" w:sz="8" w:space="0" w:color="A7D3F5"/>
              <w:bottom w:val="single" w:sz="8" w:space="0" w:color="A7D3F5"/>
            </w:tcBorders>
            <w:shd w:val="clear" w:color="auto" w:fill="C6D9F1"/>
          </w:tcPr>
          <w:p w:rsidR="0097352D" w:rsidRPr="008B720A" w:rsidRDefault="0097352D" w:rsidP="00427661">
            <w:pPr>
              <w:rPr>
                <w:rFonts w:eastAsia="Verdana"/>
                <w:b/>
                <w:bCs/>
                <w:sz w:val="18"/>
                <w:szCs w:val="22"/>
              </w:rPr>
            </w:pPr>
            <w:r w:rsidRPr="008B720A">
              <w:rPr>
                <w:rFonts w:eastAsia="Verdana"/>
                <w:b/>
                <w:bCs/>
                <w:i/>
                <w:sz w:val="16"/>
                <w:szCs w:val="16"/>
              </w:rPr>
              <w:t>Dividends paid</w:t>
            </w:r>
          </w:p>
        </w:tc>
      </w:tr>
      <w:tr w:rsidR="0097352D" w:rsidRPr="008B720A" w:rsidTr="00BA6A51">
        <w:tc>
          <w:tcPr>
            <w:tcW w:w="5070" w:type="dxa"/>
            <w:shd w:val="clear" w:color="auto" w:fill="auto"/>
          </w:tcPr>
          <w:p w:rsidR="0097352D" w:rsidRPr="008B720A" w:rsidRDefault="0097352D" w:rsidP="00BA6A51">
            <w:pPr>
              <w:pStyle w:val="ListNumber"/>
              <w:tabs>
                <w:tab w:val="clear" w:pos="284"/>
              </w:tabs>
              <w:ind w:left="340" w:hanging="340"/>
              <w:jc w:val="left"/>
              <w:rPr>
                <w:rFonts w:eastAsia="Verdana"/>
                <w:b/>
                <w:bCs/>
                <w:i/>
                <w:color w:val="auto"/>
                <w:sz w:val="16"/>
                <w:szCs w:val="16"/>
              </w:rPr>
            </w:pPr>
            <w:r w:rsidRPr="008B720A">
              <w:rPr>
                <w:rFonts w:eastAsia="Verdana"/>
                <w:bCs/>
                <w:color w:val="auto"/>
                <w:sz w:val="16"/>
                <w:szCs w:val="16"/>
              </w:rPr>
              <w:t>Is it possible for a company in your MS to distribute dividends to a foreign company without any withholding tax?</w:t>
            </w:r>
          </w:p>
        </w:tc>
        <w:tc>
          <w:tcPr>
            <w:tcW w:w="3933" w:type="dxa"/>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 xml:space="preserve">Yes, </w:t>
            </w:r>
            <w:r w:rsidR="00704F32" w:rsidRPr="008B720A">
              <w:rPr>
                <w:rFonts w:eastAsia="Verdana"/>
                <w:color w:val="auto"/>
                <w:sz w:val="16"/>
                <w:szCs w:val="16"/>
              </w:rPr>
              <w:t>according to Article 27-</w:t>
            </w:r>
            <w:proofErr w:type="gramStart"/>
            <w:r w:rsidR="00704F32" w:rsidRPr="008B720A">
              <w:rPr>
                <w:rFonts w:eastAsia="Verdana"/>
                <w:i/>
                <w:color w:val="auto"/>
                <w:sz w:val="16"/>
                <w:szCs w:val="16"/>
              </w:rPr>
              <w:t>bis</w:t>
            </w:r>
            <w:r w:rsidR="00704F32" w:rsidRPr="008B720A">
              <w:rPr>
                <w:rFonts w:eastAsia="Verdana"/>
                <w:color w:val="auto"/>
                <w:sz w:val="16"/>
                <w:szCs w:val="16"/>
              </w:rPr>
              <w:t>(</w:t>
            </w:r>
            <w:proofErr w:type="gramEnd"/>
            <w:r w:rsidR="00704F32" w:rsidRPr="008B720A">
              <w:rPr>
                <w:rFonts w:eastAsia="Verdana"/>
                <w:color w:val="auto"/>
                <w:sz w:val="16"/>
                <w:szCs w:val="16"/>
              </w:rPr>
              <w:t>3) of the Presidential Decree 29 September 1973, n. 600, which has implemented the Parent-Subsidiary Directive</w:t>
            </w:r>
            <w:r w:rsidRPr="008B720A">
              <w:rPr>
                <w:rFonts w:eastAsia="Verdana"/>
                <w:color w:val="auto"/>
                <w:sz w:val="16"/>
                <w:szCs w:val="16"/>
              </w:rPr>
              <w:t>.</w:t>
            </w:r>
          </w:p>
          <w:p w:rsidR="00123FF5" w:rsidRPr="008B720A" w:rsidRDefault="00123FF5" w:rsidP="00123FF5">
            <w:pPr>
              <w:rPr>
                <w:rFonts w:eastAsia="Verdana"/>
                <w:color w:val="auto"/>
                <w:sz w:val="16"/>
                <w:szCs w:val="16"/>
              </w:rPr>
            </w:pPr>
          </w:p>
          <w:p w:rsidR="00123FF5" w:rsidRPr="008B720A" w:rsidRDefault="005C0573" w:rsidP="00123FF5">
            <w:pPr>
              <w:rPr>
                <w:rFonts w:eastAsia="Verdana"/>
                <w:color w:val="auto"/>
                <w:sz w:val="16"/>
                <w:szCs w:val="16"/>
              </w:rPr>
            </w:pPr>
            <w:r w:rsidRPr="008B720A">
              <w:rPr>
                <w:rFonts w:eastAsia="Verdana"/>
                <w:color w:val="auto"/>
                <w:sz w:val="16"/>
                <w:szCs w:val="16"/>
              </w:rPr>
              <w:t>According to Article 15 of the EU-Swiss agreement on taxation of savings, d</w:t>
            </w:r>
            <w:r w:rsidR="00123FF5" w:rsidRPr="008B720A">
              <w:rPr>
                <w:rFonts w:eastAsia="Verdana"/>
                <w:color w:val="auto"/>
                <w:sz w:val="16"/>
                <w:szCs w:val="16"/>
              </w:rPr>
              <w:t>ividends paid to a company resident in Switzerland may be tax exempt under essentially the same conditions as those laid down in the EU Parent-Subsidiary Directive.</w:t>
            </w:r>
          </w:p>
          <w:p w:rsidR="00123FF5" w:rsidRPr="008B720A" w:rsidRDefault="00123FF5" w:rsidP="00123FF5">
            <w:pPr>
              <w:rPr>
                <w:rFonts w:eastAsia="Verdana"/>
                <w:color w:val="auto"/>
                <w:sz w:val="16"/>
                <w:szCs w:val="16"/>
              </w:rPr>
            </w:pPr>
          </w:p>
          <w:p w:rsidR="0097352D" w:rsidRPr="008B720A" w:rsidRDefault="00123FF5" w:rsidP="000747D0">
            <w:pPr>
              <w:rPr>
                <w:rFonts w:eastAsia="Verdana"/>
                <w:color w:val="auto"/>
                <w:sz w:val="16"/>
                <w:szCs w:val="16"/>
              </w:rPr>
            </w:pPr>
            <w:r w:rsidRPr="008B720A">
              <w:rPr>
                <w:rFonts w:eastAsia="Verdana"/>
                <w:color w:val="auto"/>
                <w:sz w:val="16"/>
                <w:szCs w:val="16"/>
              </w:rPr>
              <w:t xml:space="preserve">A reduced 1.375% withholding tax is levied on dividends </w:t>
            </w:r>
            <w:r w:rsidR="000747D0" w:rsidRPr="008B720A">
              <w:rPr>
                <w:rFonts w:eastAsia="Verdana"/>
                <w:color w:val="auto"/>
                <w:sz w:val="16"/>
                <w:szCs w:val="16"/>
              </w:rPr>
              <w:t>paid to companies</w:t>
            </w:r>
            <w:r w:rsidR="007A264D" w:rsidRPr="008B720A">
              <w:rPr>
                <w:rFonts w:eastAsia="Verdana"/>
                <w:color w:val="auto"/>
                <w:sz w:val="16"/>
                <w:szCs w:val="16"/>
              </w:rPr>
              <w:t xml:space="preserve"> and other entities</w:t>
            </w:r>
            <w:r w:rsidRPr="008B720A">
              <w:rPr>
                <w:rFonts w:eastAsia="Verdana"/>
                <w:color w:val="auto"/>
                <w:sz w:val="16"/>
                <w:szCs w:val="16"/>
              </w:rPr>
              <w:t xml:space="preserve"> resident and subject to corporate income tax in another </w:t>
            </w:r>
            <w:r w:rsidR="000747D0" w:rsidRPr="008B720A">
              <w:rPr>
                <w:rFonts w:eastAsia="Verdana"/>
                <w:color w:val="auto"/>
                <w:sz w:val="16"/>
                <w:szCs w:val="16"/>
              </w:rPr>
              <w:t xml:space="preserve">EU or </w:t>
            </w:r>
            <w:r w:rsidRPr="008B720A">
              <w:rPr>
                <w:rFonts w:eastAsia="Verdana"/>
                <w:color w:val="auto"/>
                <w:sz w:val="16"/>
                <w:szCs w:val="16"/>
              </w:rPr>
              <w:t>EEA country that allows an adequate exchange of information with Italy</w:t>
            </w:r>
            <w:r w:rsidR="000747D0" w:rsidRPr="008B720A">
              <w:rPr>
                <w:rFonts w:eastAsia="Verdana"/>
                <w:color w:val="auto"/>
                <w:sz w:val="16"/>
                <w:szCs w:val="16"/>
              </w:rPr>
              <w:t xml:space="preserve"> (Article 27(3-</w:t>
            </w:r>
            <w:r w:rsidR="000747D0" w:rsidRPr="008B720A">
              <w:rPr>
                <w:rFonts w:eastAsia="Verdana"/>
                <w:i/>
                <w:color w:val="auto"/>
                <w:sz w:val="16"/>
                <w:szCs w:val="16"/>
              </w:rPr>
              <w:t>bis</w:t>
            </w:r>
            <w:r w:rsidR="000747D0" w:rsidRPr="008B720A">
              <w:rPr>
                <w:rFonts w:eastAsia="Verdana"/>
                <w:color w:val="auto"/>
                <w:sz w:val="16"/>
                <w:szCs w:val="16"/>
              </w:rPr>
              <w:t>) of the Presidential Decree 29 September 1973, n. 600)</w:t>
            </w:r>
            <w:r w:rsidRPr="008B720A">
              <w:rPr>
                <w:rFonts w:eastAsia="Verdana"/>
                <w:color w:val="auto"/>
                <w:sz w:val="16"/>
                <w:szCs w:val="16"/>
              </w:rPr>
              <w:t>.</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427661">
            <w:pPr>
              <w:pStyle w:val="ListNumber"/>
              <w:rPr>
                <w:rFonts w:eastAsia="Verdana"/>
                <w:b/>
                <w:bCs/>
                <w:color w:val="auto"/>
                <w:sz w:val="16"/>
                <w:szCs w:val="16"/>
              </w:rPr>
            </w:pPr>
            <w:r w:rsidRPr="008B720A">
              <w:rPr>
                <w:rFonts w:eastAsia="Verdana"/>
                <w:bCs/>
                <w:color w:val="auto"/>
                <w:sz w:val="16"/>
                <w:szCs w:val="16"/>
              </w:rPr>
              <w:t xml:space="preserve">If yes to </w:t>
            </w:r>
            <w:r w:rsidR="003A6F57" w:rsidRPr="008B720A">
              <w:rPr>
                <w:rFonts w:eastAsia="Verdana"/>
                <w:bCs/>
                <w:color w:val="auto"/>
                <w:sz w:val="16"/>
                <w:szCs w:val="16"/>
              </w:rPr>
              <w:t>5</w:t>
            </w:r>
            <w:r w:rsidRPr="008B720A">
              <w:rPr>
                <w:rFonts w:eastAsia="Verdana"/>
                <w:bCs/>
                <w:color w:val="auto"/>
                <w:sz w:val="16"/>
                <w:szCs w:val="16"/>
              </w:rPr>
              <w:t>,</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97352D" w:rsidP="00427661">
            <w:pPr>
              <w:rPr>
                <w:rFonts w:eastAsia="Verdana"/>
                <w:color w:val="auto"/>
                <w:sz w:val="16"/>
                <w:szCs w:val="16"/>
              </w:rPr>
            </w:pPr>
          </w:p>
        </w:tc>
      </w:tr>
      <w:tr w:rsidR="0097352D" w:rsidRPr="008B720A" w:rsidTr="00BA6A51">
        <w:tc>
          <w:tcPr>
            <w:tcW w:w="5070" w:type="dxa"/>
            <w:shd w:val="clear" w:color="auto" w:fill="auto"/>
          </w:tcPr>
          <w:p w:rsidR="0097352D" w:rsidRPr="008B720A" w:rsidRDefault="0097352D" w:rsidP="00BA6A51">
            <w:pPr>
              <w:pStyle w:val="ColorfulShading-Accent31"/>
              <w:numPr>
                <w:ilvl w:val="0"/>
                <w:numId w:val="24"/>
              </w:numPr>
              <w:spacing w:line="240" w:lineRule="auto"/>
              <w:jc w:val="left"/>
              <w:rPr>
                <w:rFonts w:eastAsia="Verdana"/>
                <w:b/>
                <w:bCs/>
                <w:sz w:val="16"/>
                <w:szCs w:val="16"/>
              </w:rPr>
            </w:pPr>
            <w:r w:rsidRPr="008B720A">
              <w:rPr>
                <w:rFonts w:eastAsia="Verdana"/>
                <w:bCs/>
                <w:sz w:val="16"/>
                <w:szCs w:val="16"/>
              </w:rPr>
              <w:t>Does this apply regardless of the amount or percentage of shares</w:t>
            </w:r>
            <w:r w:rsidR="00A30052" w:rsidRPr="008B720A">
              <w:rPr>
                <w:rFonts w:eastAsia="Verdana"/>
                <w:bCs/>
                <w:sz w:val="16"/>
                <w:szCs w:val="16"/>
              </w:rPr>
              <w:t>,</w:t>
            </w:r>
            <w:r w:rsidRPr="008B720A">
              <w:rPr>
                <w:rFonts w:eastAsia="Verdana"/>
                <w:bCs/>
                <w:sz w:val="16"/>
                <w:szCs w:val="16"/>
              </w:rPr>
              <w:t xml:space="preserve"> which the foreign company holds?</w:t>
            </w:r>
          </w:p>
        </w:tc>
        <w:tc>
          <w:tcPr>
            <w:tcW w:w="3933" w:type="dxa"/>
            <w:shd w:val="clear" w:color="auto" w:fill="auto"/>
          </w:tcPr>
          <w:p w:rsidR="00123FF5" w:rsidRPr="008B720A" w:rsidRDefault="0080129F" w:rsidP="00123FF5">
            <w:pPr>
              <w:rPr>
                <w:rFonts w:eastAsia="Verdana"/>
                <w:color w:val="auto"/>
                <w:sz w:val="16"/>
                <w:szCs w:val="16"/>
              </w:rPr>
            </w:pPr>
            <w:r w:rsidRPr="008B720A">
              <w:rPr>
                <w:rFonts w:eastAsia="Verdana"/>
                <w:color w:val="auto"/>
                <w:sz w:val="16"/>
                <w:szCs w:val="16"/>
              </w:rPr>
              <w:t>Artic</w:t>
            </w:r>
            <w:r w:rsidR="00672045" w:rsidRPr="008B720A">
              <w:rPr>
                <w:rFonts w:eastAsia="Verdana"/>
                <w:color w:val="auto"/>
                <w:sz w:val="16"/>
                <w:szCs w:val="16"/>
              </w:rPr>
              <w:t>l</w:t>
            </w:r>
            <w:r w:rsidRPr="008B720A">
              <w:rPr>
                <w:rFonts w:eastAsia="Verdana"/>
                <w:color w:val="auto"/>
                <w:sz w:val="16"/>
                <w:szCs w:val="16"/>
              </w:rPr>
              <w:t>e 27-</w:t>
            </w:r>
            <w:proofErr w:type="gramStart"/>
            <w:r w:rsidRPr="008B720A">
              <w:rPr>
                <w:rFonts w:eastAsia="Verdana"/>
                <w:i/>
                <w:color w:val="auto"/>
                <w:sz w:val="16"/>
                <w:szCs w:val="16"/>
              </w:rPr>
              <w:t>bis</w:t>
            </w:r>
            <w:r w:rsidRPr="008B720A">
              <w:rPr>
                <w:rFonts w:eastAsia="Verdana"/>
                <w:color w:val="auto"/>
                <w:sz w:val="16"/>
                <w:szCs w:val="16"/>
              </w:rPr>
              <w:t>(</w:t>
            </w:r>
            <w:proofErr w:type="gramEnd"/>
            <w:r w:rsidRPr="008B720A">
              <w:rPr>
                <w:rFonts w:eastAsia="Verdana"/>
                <w:color w:val="auto"/>
                <w:sz w:val="16"/>
                <w:szCs w:val="16"/>
              </w:rPr>
              <w:t xml:space="preserve">1) of the Presidential Decree 29 September 1973, n. 600 requires a minimum holding of </w:t>
            </w:r>
            <w:r w:rsidR="007A264D" w:rsidRPr="008B720A">
              <w:rPr>
                <w:rFonts w:eastAsia="Verdana"/>
                <w:color w:val="auto"/>
                <w:sz w:val="16"/>
                <w:szCs w:val="16"/>
              </w:rPr>
              <w:t>10</w:t>
            </w:r>
            <w:r w:rsidRPr="008B720A">
              <w:rPr>
                <w:rFonts w:eastAsia="Verdana"/>
                <w:color w:val="auto"/>
                <w:sz w:val="16"/>
                <w:szCs w:val="16"/>
              </w:rPr>
              <w:t>% for at least 1 uninterrupted year</w:t>
            </w:r>
            <w:r w:rsidR="00123FF5" w:rsidRPr="008B720A">
              <w:rPr>
                <w:rFonts w:eastAsia="Verdana"/>
                <w:color w:val="auto"/>
                <w:sz w:val="16"/>
                <w:szCs w:val="16"/>
              </w:rPr>
              <w:t>.</w:t>
            </w:r>
          </w:p>
          <w:p w:rsidR="00123FF5" w:rsidRPr="008B720A" w:rsidRDefault="00123FF5" w:rsidP="00123FF5">
            <w:pPr>
              <w:rPr>
                <w:rFonts w:eastAsia="Verdana"/>
                <w:color w:val="auto"/>
                <w:sz w:val="16"/>
                <w:szCs w:val="16"/>
              </w:rPr>
            </w:pPr>
          </w:p>
          <w:p w:rsidR="0097352D" w:rsidRPr="008B720A" w:rsidRDefault="00123FF5" w:rsidP="00427661">
            <w:pPr>
              <w:rPr>
                <w:rFonts w:eastAsia="Verdana"/>
                <w:color w:val="auto"/>
                <w:sz w:val="16"/>
                <w:szCs w:val="16"/>
              </w:rPr>
            </w:pPr>
            <w:r w:rsidRPr="008B720A">
              <w:rPr>
                <w:rFonts w:eastAsia="Verdana"/>
                <w:color w:val="auto"/>
                <w:sz w:val="16"/>
                <w:szCs w:val="16"/>
              </w:rPr>
              <w:t xml:space="preserve">The </w:t>
            </w:r>
            <w:r w:rsidR="005A0B07" w:rsidRPr="008B720A">
              <w:rPr>
                <w:rFonts w:eastAsia="Verdana"/>
                <w:color w:val="auto"/>
                <w:sz w:val="16"/>
                <w:szCs w:val="16"/>
              </w:rPr>
              <w:t xml:space="preserve">1.375% </w:t>
            </w:r>
            <w:r w:rsidRPr="008B720A">
              <w:rPr>
                <w:rFonts w:eastAsia="Verdana"/>
                <w:color w:val="auto"/>
                <w:sz w:val="16"/>
                <w:szCs w:val="16"/>
              </w:rPr>
              <w:t>reduced withholding tax is not subject to an</w:t>
            </w:r>
            <w:r w:rsidR="0080129F" w:rsidRPr="008B720A">
              <w:rPr>
                <w:rFonts w:eastAsia="Verdana"/>
                <w:color w:val="auto"/>
                <w:sz w:val="16"/>
                <w:szCs w:val="16"/>
              </w:rPr>
              <w:t>y</w:t>
            </w:r>
            <w:r w:rsidRPr="008B720A">
              <w:rPr>
                <w:rFonts w:eastAsia="Verdana"/>
                <w:color w:val="auto"/>
                <w:sz w:val="16"/>
                <w:szCs w:val="16"/>
              </w:rPr>
              <w:t xml:space="preserve"> ownership requirement.</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ColorfulShading-Accent31"/>
              <w:numPr>
                <w:ilvl w:val="0"/>
                <w:numId w:val="24"/>
              </w:numPr>
              <w:spacing w:line="240" w:lineRule="auto"/>
              <w:jc w:val="left"/>
              <w:rPr>
                <w:rFonts w:eastAsia="Verdana"/>
                <w:b/>
                <w:bCs/>
                <w:sz w:val="16"/>
                <w:szCs w:val="16"/>
              </w:rPr>
            </w:pPr>
            <w:r w:rsidRPr="008B720A">
              <w:rPr>
                <w:rFonts w:eastAsia="Verdana"/>
                <w:bCs/>
                <w:sz w:val="16"/>
                <w:szCs w:val="16"/>
              </w:rPr>
              <w:t xml:space="preserve">Does this apply regardless of the tax residence of the foreign company, e.g. member state, treaty state, tax haven? </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The exemption only applies if the foreign shareholder company is:</w:t>
            </w:r>
          </w:p>
          <w:p w:rsidR="00123FF5" w:rsidRPr="008B720A" w:rsidRDefault="00123FF5" w:rsidP="00BA6A51">
            <w:pPr>
              <w:numPr>
                <w:ilvl w:val="0"/>
                <w:numId w:val="31"/>
              </w:numPr>
              <w:ind w:left="459"/>
              <w:rPr>
                <w:rFonts w:eastAsia="Verdana"/>
                <w:color w:val="auto"/>
                <w:sz w:val="16"/>
                <w:szCs w:val="16"/>
              </w:rPr>
            </w:pPr>
            <w:r w:rsidRPr="008B720A">
              <w:rPr>
                <w:rFonts w:eastAsia="Verdana"/>
                <w:color w:val="auto"/>
                <w:sz w:val="16"/>
                <w:szCs w:val="16"/>
              </w:rPr>
              <w:t>resident in an EU Member State</w:t>
            </w:r>
            <w:r w:rsidR="007E258F" w:rsidRPr="008B720A">
              <w:rPr>
                <w:rFonts w:eastAsia="Verdana"/>
                <w:color w:val="auto"/>
                <w:sz w:val="16"/>
                <w:szCs w:val="16"/>
              </w:rPr>
              <w:t xml:space="preserve">, without </w:t>
            </w:r>
            <w:r w:rsidR="00AA5AAB" w:rsidRPr="008B720A">
              <w:rPr>
                <w:rFonts w:eastAsia="Verdana"/>
                <w:color w:val="auto"/>
                <w:sz w:val="16"/>
                <w:szCs w:val="16"/>
              </w:rPr>
              <w:t>being</w:t>
            </w:r>
            <w:r w:rsidR="007E258F" w:rsidRPr="008B720A">
              <w:rPr>
                <w:rFonts w:eastAsia="Verdana"/>
                <w:color w:val="auto"/>
                <w:sz w:val="16"/>
                <w:szCs w:val="16"/>
              </w:rPr>
              <w:t xml:space="preserve"> considered </w:t>
            </w:r>
            <w:r w:rsidR="00AA5AAB" w:rsidRPr="008B720A">
              <w:rPr>
                <w:rFonts w:eastAsia="Verdana"/>
                <w:color w:val="auto"/>
                <w:sz w:val="16"/>
                <w:szCs w:val="16"/>
              </w:rPr>
              <w:t>resident in a third State according to a double tax convention;</w:t>
            </w:r>
          </w:p>
          <w:p w:rsidR="00123FF5" w:rsidRPr="008B720A" w:rsidRDefault="00123FF5" w:rsidP="00BA6A51">
            <w:pPr>
              <w:numPr>
                <w:ilvl w:val="0"/>
                <w:numId w:val="31"/>
              </w:numPr>
              <w:ind w:left="459"/>
              <w:rPr>
                <w:rFonts w:eastAsia="Verdana"/>
                <w:color w:val="auto"/>
                <w:sz w:val="16"/>
                <w:szCs w:val="16"/>
              </w:rPr>
            </w:pPr>
            <w:r w:rsidRPr="008B720A">
              <w:rPr>
                <w:rFonts w:eastAsia="Verdana"/>
                <w:color w:val="auto"/>
                <w:sz w:val="16"/>
                <w:szCs w:val="16"/>
              </w:rPr>
              <w:t>has one of the legal forms listed in the Annex to the Parent-Subsidiary Directive</w:t>
            </w:r>
          </w:p>
          <w:p w:rsidR="00123FF5" w:rsidRPr="008B720A" w:rsidRDefault="00AA5AAB" w:rsidP="00BA6A51">
            <w:pPr>
              <w:numPr>
                <w:ilvl w:val="0"/>
                <w:numId w:val="31"/>
              </w:numPr>
              <w:ind w:left="459"/>
              <w:rPr>
                <w:rFonts w:eastAsia="Verdana"/>
                <w:color w:val="auto"/>
                <w:sz w:val="16"/>
                <w:szCs w:val="16"/>
              </w:rPr>
            </w:pPr>
            <w:proofErr w:type="gramStart"/>
            <w:r w:rsidRPr="008B720A">
              <w:rPr>
                <w:rFonts w:eastAsia="Verdana"/>
                <w:color w:val="auto"/>
                <w:sz w:val="16"/>
                <w:szCs w:val="16"/>
              </w:rPr>
              <w:t>i</w:t>
            </w:r>
            <w:r w:rsidR="00123FF5" w:rsidRPr="008B720A">
              <w:rPr>
                <w:rFonts w:eastAsia="Verdana"/>
                <w:color w:val="auto"/>
                <w:sz w:val="16"/>
                <w:szCs w:val="16"/>
              </w:rPr>
              <w:t>s</w:t>
            </w:r>
            <w:proofErr w:type="gramEnd"/>
            <w:r w:rsidR="00123FF5" w:rsidRPr="008B720A">
              <w:rPr>
                <w:rFonts w:eastAsia="Verdana"/>
                <w:color w:val="auto"/>
                <w:sz w:val="16"/>
                <w:szCs w:val="16"/>
              </w:rPr>
              <w:t xml:space="preserve"> subject to one of the taxes listed in the Annex to the Directive, without the possibility of benefiting from an exemption, unless temporarily or territorially limited</w:t>
            </w:r>
            <w:r w:rsidRPr="008B720A">
              <w:rPr>
                <w:rFonts w:eastAsia="Verdana"/>
                <w:color w:val="auto"/>
                <w:sz w:val="16"/>
                <w:szCs w:val="16"/>
              </w:rPr>
              <w:t xml:space="preserve"> (Article 27-</w:t>
            </w:r>
            <w:r w:rsidRPr="008B720A">
              <w:rPr>
                <w:rFonts w:eastAsia="Verdana"/>
                <w:i/>
                <w:color w:val="auto"/>
                <w:sz w:val="16"/>
                <w:szCs w:val="16"/>
              </w:rPr>
              <w:t>bis</w:t>
            </w:r>
            <w:r w:rsidRPr="008B720A">
              <w:rPr>
                <w:rFonts w:eastAsia="Verdana"/>
                <w:color w:val="auto"/>
                <w:sz w:val="16"/>
                <w:szCs w:val="16"/>
              </w:rPr>
              <w:t>(1) of the Presidential Decree 29 September 1973, n. 600).</w:t>
            </w:r>
          </w:p>
          <w:p w:rsidR="00123FF5" w:rsidRPr="008B720A" w:rsidRDefault="00123FF5" w:rsidP="00123FF5">
            <w:pPr>
              <w:rPr>
                <w:rFonts w:eastAsia="Verdana"/>
                <w:color w:val="auto"/>
                <w:sz w:val="16"/>
                <w:szCs w:val="16"/>
              </w:rPr>
            </w:pPr>
            <w:r w:rsidRPr="008B720A">
              <w:rPr>
                <w:rFonts w:eastAsia="Verdana"/>
                <w:color w:val="auto"/>
                <w:sz w:val="16"/>
                <w:szCs w:val="16"/>
              </w:rPr>
              <w:t>(Similar requirements apply if the foreign shareholder is resident in Switzerland).</w:t>
            </w:r>
          </w:p>
          <w:p w:rsidR="00123FF5" w:rsidRPr="008B720A" w:rsidRDefault="00123FF5" w:rsidP="00123FF5">
            <w:pPr>
              <w:rPr>
                <w:rFonts w:eastAsia="Verdana"/>
                <w:color w:val="auto"/>
                <w:sz w:val="16"/>
                <w:szCs w:val="16"/>
              </w:rPr>
            </w:pPr>
          </w:p>
          <w:p w:rsidR="0097352D" w:rsidRPr="008B720A" w:rsidRDefault="00123FF5" w:rsidP="00AA5AAB">
            <w:pPr>
              <w:rPr>
                <w:rFonts w:eastAsia="Verdana"/>
                <w:color w:val="auto"/>
                <w:sz w:val="16"/>
                <w:szCs w:val="16"/>
              </w:rPr>
            </w:pPr>
            <w:r w:rsidRPr="008B720A">
              <w:rPr>
                <w:rFonts w:eastAsia="Verdana"/>
                <w:color w:val="auto"/>
                <w:sz w:val="16"/>
                <w:szCs w:val="16"/>
              </w:rPr>
              <w:t xml:space="preserve">The reduced withholding tax only applies </w:t>
            </w:r>
            <w:r w:rsidR="00AA5AAB" w:rsidRPr="008B720A">
              <w:rPr>
                <w:rFonts w:eastAsia="Verdana"/>
                <w:color w:val="auto"/>
                <w:sz w:val="16"/>
                <w:szCs w:val="16"/>
              </w:rPr>
              <w:t xml:space="preserve">if the recipient </w:t>
            </w:r>
            <w:r w:rsidRPr="008B720A">
              <w:rPr>
                <w:rFonts w:eastAsia="Verdana"/>
                <w:color w:val="auto"/>
                <w:sz w:val="16"/>
                <w:szCs w:val="16"/>
              </w:rPr>
              <w:t xml:space="preserve">is a company </w:t>
            </w:r>
            <w:r w:rsidR="00900093" w:rsidRPr="008B720A">
              <w:rPr>
                <w:rFonts w:eastAsia="Verdana"/>
                <w:color w:val="auto"/>
                <w:sz w:val="16"/>
                <w:szCs w:val="16"/>
              </w:rPr>
              <w:t xml:space="preserve">or other entity </w:t>
            </w:r>
            <w:r w:rsidRPr="008B720A">
              <w:rPr>
                <w:rFonts w:eastAsia="Verdana"/>
                <w:color w:val="auto"/>
                <w:sz w:val="16"/>
                <w:szCs w:val="16"/>
              </w:rPr>
              <w:t xml:space="preserve">resident and subject to corporate income tax in another </w:t>
            </w:r>
            <w:r w:rsidR="005A0B07" w:rsidRPr="008B720A">
              <w:rPr>
                <w:rFonts w:eastAsia="Verdana"/>
                <w:color w:val="auto"/>
                <w:sz w:val="16"/>
                <w:szCs w:val="16"/>
              </w:rPr>
              <w:t>EU country or in a</w:t>
            </w:r>
            <w:r w:rsidR="000C7B99" w:rsidRPr="008B720A">
              <w:rPr>
                <w:rFonts w:eastAsia="Verdana"/>
                <w:color w:val="auto"/>
                <w:sz w:val="16"/>
                <w:szCs w:val="16"/>
              </w:rPr>
              <w:t>n</w:t>
            </w:r>
            <w:r w:rsidR="005A0B07" w:rsidRPr="008B720A">
              <w:rPr>
                <w:rFonts w:eastAsia="Verdana"/>
                <w:color w:val="auto"/>
                <w:sz w:val="16"/>
                <w:szCs w:val="16"/>
              </w:rPr>
              <w:t xml:space="preserve"> </w:t>
            </w:r>
            <w:r w:rsidRPr="008B720A">
              <w:rPr>
                <w:rFonts w:eastAsia="Verdana"/>
                <w:color w:val="auto"/>
                <w:sz w:val="16"/>
                <w:szCs w:val="16"/>
              </w:rPr>
              <w:t>EEA country that allows an adequate exchange of information with Italy.</w:t>
            </w:r>
          </w:p>
        </w:tc>
      </w:tr>
      <w:tr w:rsidR="0097352D" w:rsidRPr="008B720A" w:rsidTr="00BA6A51">
        <w:tc>
          <w:tcPr>
            <w:tcW w:w="5070" w:type="dxa"/>
            <w:shd w:val="clear" w:color="auto" w:fill="auto"/>
          </w:tcPr>
          <w:p w:rsidR="0097352D" w:rsidRPr="008B720A" w:rsidRDefault="0097352D" w:rsidP="00BA6A51">
            <w:pPr>
              <w:pStyle w:val="ColorfulShading-Accent31"/>
              <w:numPr>
                <w:ilvl w:val="0"/>
                <w:numId w:val="24"/>
              </w:numPr>
              <w:spacing w:line="240" w:lineRule="auto"/>
              <w:jc w:val="left"/>
              <w:rPr>
                <w:rFonts w:eastAsia="Verdana"/>
                <w:b/>
                <w:bCs/>
                <w:sz w:val="16"/>
                <w:szCs w:val="16"/>
              </w:rPr>
            </w:pPr>
            <w:r w:rsidRPr="008B720A">
              <w:rPr>
                <w:rFonts w:eastAsia="Verdana"/>
                <w:bCs/>
                <w:sz w:val="16"/>
                <w:szCs w:val="16"/>
              </w:rPr>
              <w:t>Is the withholding tax exemption subject to a beneficial ownership requirement similar to that of the OECD model tax convention?</w:t>
            </w:r>
          </w:p>
        </w:tc>
        <w:tc>
          <w:tcPr>
            <w:tcW w:w="3933" w:type="dxa"/>
            <w:shd w:val="clear" w:color="auto" w:fill="auto"/>
          </w:tcPr>
          <w:p w:rsidR="0097352D" w:rsidRPr="008B720A" w:rsidRDefault="00AA5AAB" w:rsidP="00BA6A51">
            <w:pPr>
              <w:autoSpaceDE w:val="0"/>
              <w:autoSpaceDN w:val="0"/>
              <w:adjustRightInd w:val="0"/>
              <w:rPr>
                <w:rFonts w:eastAsia="Verdana"/>
                <w:color w:val="auto"/>
                <w:sz w:val="16"/>
                <w:szCs w:val="16"/>
              </w:rPr>
            </w:pPr>
            <w:r w:rsidRPr="008B720A">
              <w:rPr>
                <w:rFonts w:eastAsia="Verdana"/>
                <w:color w:val="auto"/>
                <w:sz w:val="16"/>
                <w:szCs w:val="16"/>
              </w:rPr>
              <w:t>No.</w:t>
            </w:r>
            <w:r w:rsidR="00123FF5" w:rsidRPr="008B720A">
              <w:rPr>
                <w:rFonts w:eastAsia="Verdana"/>
                <w:color w:val="auto"/>
                <w:sz w:val="16"/>
                <w:szCs w:val="16"/>
              </w:rPr>
              <w:t xml:space="preserve"> </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ColorfulShading-Accent31"/>
              <w:numPr>
                <w:ilvl w:val="0"/>
                <w:numId w:val="24"/>
              </w:numPr>
              <w:spacing w:line="240" w:lineRule="auto"/>
              <w:jc w:val="left"/>
              <w:rPr>
                <w:rFonts w:eastAsia="Verdana"/>
                <w:b/>
                <w:bCs/>
                <w:sz w:val="16"/>
                <w:szCs w:val="16"/>
              </w:rPr>
            </w:pPr>
            <w:r w:rsidRPr="008B720A">
              <w:rPr>
                <w:rFonts w:eastAsia="Verdana"/>
                <w:bCs/>
                <w:sz w:val="16"/>
                <w:szCs w:val="16"/>
              </w:rPr>
              <w:t>Is the withholding tax exemption subject to any other anti-avoidance requirements, e.g. based on substance of the recipient? If yes, please briefly explain.</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900093" w:rsidP="00900093">
            <w:pPr>
              <w:rPr>
                <w:rFonts w:eastAsia="Verdana"/>
                <w:color w:val="auto"/>
                <w:sz w:val="16"/>
                <w:szCs w:val="16"/>
              </w:rPr>
            </w:pPr>
            <w:r w:rsidRPr="008B720A">
              <w:rPr>
                <w:rFonts w:eastAsia="Verdana"/>
                <w:color w:val="auto"/>
                <w:sz w:val="16"/>
                <w:szCs w:val="16"/>
              </w:rPr>
              <w:t xml:space="preserve">In case of dividends paid to a company controlled directly or indirectly by persons that are not resident in States of the European Union, the exemption under the Parent Subsidiary Directive applies provided that proof is given that the holding of the participation in the Italian company does not have the main or sole purpose of benefiting from such exemption regime. </w:t>
            </w:r>
          </w:p>
        </w:tc>
      </w:tr>
      <w:tr w:rsidR="0097352D" w:rsidRPr="008B720A" w:rsidTr="00BA6A51">
        <w:tc>
          <w:tcPr>
            <w:tcW w:w="5070" w:type="dxa"/>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lastRenderedPageBreak/>
              <w:t>Is any other tax levied upon a distribution of a dividend by a company in your MS?</w:t>
            </w:r>
          </w:p>
        </w:tc>
        <w:tc>
          <w:tcPr>
            <w:tcW w:w="3933" w:type="dxa"/>
            <w:shd w:val="clear" w:color="auto" w:fill="auto"/>
          </w:tcPr>
          <w:p w:rsidR="0097352D" w:rsidRPr="008B720A" w:rsidRDefault="007A264D" w:rsidP="007A264D">
            <w:pPr>
              <w:rPr>
                <w:rFonts w:eastAsia="Verdana"/>
                <w:color w:val="auto"/>
                <w:sz w:val="16"/>
                <w:szCs w:val="16"/>
              </w:rPr>
            </w:pPr>
            <w:r w:rsidRPr="008B720A">
              <w:rPr>
                <w:rFonts w:eastAsia="Verdana"/>
                <w:color w:val="auto"/>
                <w:sz w:val="16"/>
                <w:szCs w:val="16"/>
              </w:rPr>
              <w:t>Dividends paid by a company resident in Italy to a non-Italian resident person are ordinarily subject to final withholding tax at the domestic 26% rate or at the lower rate provided by the applicable double tax treaty unless the requirements for the Parent-Subsidiary Directive or the for the application of the 1.375% rate described above are met.</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Are dividend equivalents (typically a buy-back of shares, a capital reduction-payment or a payment of liquidation proceeds) treated in a similar way as dividends and subject to withholding tax when paid to a foreign company?</w:t>
            </w:r>
            <w:r w:rsidR="005F2DE0" w:rsidRPr="008B720A">
              <w:rPr>
                <w:rFonts w:eastAsia="Verdana"/>
                <w:bCs/>
                <w:color w:val="auto"/>
                <w:sz w:val="16"/>
                <w:szCs w:val="16"/>
              </w:rPr>
              <w:t xml:space="preserve"> Please refer to question 4 and 5 above.</w:t>
            </w:r>
          </w:p>
        </w:tc>
        <w:tc>
          <w:tcPr>
            <w:tcW w:w="3933" w:type="dxa"/>
            <w:tcBorders>
              <w:top w:val="single" w:sz="8" w:space="0" w:color="A7D3F5"/>
              <w:bottom w:val="single" w:sz="8" w:space="0" w:color="A7D3F5"/>
              <w:right w:val="single" w:sz="8" w:space="0" w:color="A7D3F5"/>
            </w:tcBorders>
            <w:shd w:val="clear" w:color="auto" w:fill="auto"/>
          </w:tcPr>
          <w:p w:rsidR="00B11553" w:rsidRPr="008B720A" w:rsidRDefault="00B11553" w:rsidP="00815D3D">
            <w:pPr>
              <w:rPr>
                <w:rFonts w:eastAsia="Verdana"/>
                <w:color w:val="auto"/>
                <w:sz w:val="16"/>
                <w:szCs w:val="16"/>
              </w:rPr>
            </w:pPr>
            <w:r w:rsidRPr="008B720A">
              <w:rPr>
                <w:rFonts w:eastAsia="Verdana"/>
                <w:color w:val="auto"/>
                <w:sz w:val="16"/>
                <w:szCs w:val="16"/>
              </w:rPr>
              <w:t>Dividend equivalents are treated in the same way as dividends</w:t>
            </w:r>
            <w:r w:rsidR="00764CED" w:rsidRPr="008B720A">
              <w:rPr>
                <w:rFonts w:eastAsia="Verdana"/>
                <w:color w:val="auto"/>
                <w:sz w:val="16"/>
                <w:szCs w:val="16"/>
              </w:rPr>
              <w:t xml:space="preserve"> (Article 47(1), ITA). </w:t>
            </w:r>
          </w:p>
          <w:p w:rsidR="0097352D" w:rsidRPr="008B720A" w:rsidRDefault="00B11553" w:rsidP="006D6279">
            <w:pPr>
              <w:rPr>
                <w:rFonts w:eastAsia="Verdana"/>
                <w:color w:val="auto"/>
                <w:sz w:val="16"/>
                <w:szCs w:val="16"/>
              </w:rPr>
            </w:pPr>
            <w:r w:rsidRPr="008B720A">
              <w:rPr>
                <w:rFonts w:eastAsia="Verdana"/>
                <w:color w:val="auto"/>
                <w:sz w:val="16"/>
                <w:szCs w:val="16"/>
              </w:rPr>
              <w:t xml:space="preserve">Withholding tax is applicable on dividend equivalents in the same way as for dividends. The shareholder shall file a declaration attesting the </w:t>
            </w:r>
            <w:r w:rsidR="006D6279" w:rsidRPr="008B720A">
              <w:rPr>
                <w:rFonts w:eastAsia="Verdana"/>
                <w:color w:val="auto"/>
                <w:sz w:val="16"/>
                <w:szCs w:val="16"/>
              </w:rPr>
              <w:t xml:space="preserve">tax basis </w:t>
            </w:r>
            <w:r w:rsidRPr="008B720A">
              <w:rPr>
                <w:rFonts w:eastAsia="Verdana"/>
                <w:color w:val="auto"/>
                <w:sz w:val="16"/>
                <w:szCs w:val="16"/>
              </w:rPr>
              <w:t>of the participation (Article 27(1-</w:t>
            </w:r>
            <w:r w:rsidRPr="008B720A">
              <w:rPr>
                <w:rFonts w:eastAsia="Verdana"/>
                <w:i/>
                <w:color w:val="auto"/>
                <w:sz w:val="16"/>
                <w:szCs w:val="16"/>
              </w:rPr>
              <w:t>bis</w:t>
            </w:r>
            <w:r w:rsidRPr="008B720A">
              <w:rPr>
                <w:rFonts w:eastAsia="Verdana"/>
                <w:color w:val="auto"/>
                <w:sz w:val="16"/>
                <w:szCs w:val="16"/>
              </w:rPr>
              <w:t>) of the Presidential Decree n. 600 of 1973) in order to duly settle the “taxable base” upon which withholding tax shall be levied.</w:t>
            </w:r>
          </w:p>
        </w:tc>
      </w:tr>
      <w:tr w:rsidR="0097352D" w:rsidRPr="008B720A" w:rsidTr="00BA6A51">
        <w:tc>
          <w:tcPr>
            <w:tcW w:w="9003" w:type="dxa"/>
            <w:gridSpan w:val="2"/>
            <w:shd w:val="clear" w:color="auto" w:fill="C6D9F1"/>
          </w:tcPr>
          <w:p w:rsidR="0097352D" w:rsidRPr="008B720A" w:rsidRDefault="0097352D" w:rsidP="00427661">
            <w:pPr>
              <w:rPr>
                <w:rFonts w:eastAsia="Verdana"/>
                <w:b/>
                <w:bCs/>
                <w:sz w:val="18"/>
                <w:szCs w:val="22"/>
              </w:rPr>
            </w:pPr>
            <w:r w:rsidRPr="008B720A">
              <w:rPr>
                <w:rFonts w:eastAsia="Verdana"/>
                <w:b/>
                <w:bCs/>
                <w:i/>
                <w:sz w:val="16"/>
                <w:szCs w:val="16"/>
              </w:rPr>
              <w:t>Interest income</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Is interest income from a loan granted by a company in your MS to a foreign group member company taxable?</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764CED" w:rsidP="00764CED">
            <w:pPr>
              <w:rPr>
                <w:rFonts w:eastAsia="Verdana"/>
                <w:color w:val="auto"/>
                <w:sz w:val="16"/>
                <w:szCs w:val="16"/>
              </w:rPr>
            </w:pPr>
            <w:r w:rsidRPr="008B720A">
              <w:rPr>
                <w:rFonts w:eastAsia="Verdana"/>
                <w:color w:val="auto"/>
                <w:sz w:val="16"/>
                <w:szCs w:val="16"/>
              </w:rPr>
              <w:t>Interest income is subject to tax (Article 89(5) ITA).</w:t>
            </w:r>
          </w:p>
        </w:tc>
      </w:tr>
      <w:tr w:rsidR="0097352D" w:rsidRPr="008B720A" w:rsidTr="00BA6A51">
        <w:tc>
          <w:tcPr>
            <w:tcW w:w="5070" w:type="dxa"/>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8B720A">
              <w:rPr>
                <w:rFonts w:eastAsia="Verdana"/>
                <w:bCs/>
                <w:color w:val="auto"/>
                <w:sz w:val="16"/>
                <w:szCs w:val="16"/>
              </w:rPr>
              <w:t>FinanceCo</w:t>
            </w:r>
            <w:proofErr w:type="spellEnd"/>
            <w:r w:rsidRPr="008B720A">
              <w:rPr>
                <w:rFonts w:eastAsia="Verdana"/>
                <w:bCs/>
                <w:color w:val="auto"/>
                <w:sz w:val="16"/>
                <w:szCs w:val="16"/>
              </w:rPr>
              <w:t xml:space="preserve"> B is tax resident in your MS.</w:t>
            </w:r>
          </w:p>
        </w:tc>
        <w:tc>
          <w:tcPr>
            <w:tcW w:w="3933" w:type="dxa"/>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Two possible situations could occur.</w:t>
            </w:r>
          </w:p>
          <w:p w:rsidR="00805208" w:rsidRPr="008B720A" w:rsidRDefault="00805208" w:rsidP="00805208">
            <w:pPr>
              <w:rPr>
                <w:rFonts w:eastAsia="Verdana"/>
                <w:color w:val="auto"/>
                <w:sz w:val="16"/>
                <w:szCs w:val="16"/>
              </w:rPr>
            </w:pPr>
            <w:r w:rsidRPr="008B720A">
              <w:rPr>
                <w:rFonts w:eastAsia="Verdana"/>
                <w:color w:val="auto"/>
                <w:sz w:val="16"/>
                <w:szCs w:val="16"/>
              </w:rPr>
              <w:t xml:space="preserve">If the loan is free of interest or interest rate not set according to arm’s length-conditions, Article 110(7)-(9) ITA applies. According to this provision, the interest income is determined at the “normal value” (arm’s length) if the Italian subject controls (or is controlled by or is controlled by the same controlling person of) the </w:t>
            </w:r>
            <w:proofErr w:type="spellStart"/>
            <w:r w:rsidRPr="008B720A">
              <w:rPr>
                <w:rFonts w:eastAsia="Verdana"/>
                <w:color w:val="auto"/>
                <w:sz w:val="16"/>
                <w:szCs w:val="16"/>
              </w:rPr>
              <w:t>non resident</w:t>
            </w:r>
            <w:proofErr w:type="spellEnd"/>
            <w:r w:rsidRPr="008B720A">
              <w:rPr>
                <w:rFonts w:eastAsia="Verdana"/>
                <w:color w:val="auto"/>
                <w:sz w:val="16"/>
                <w:szCs w:val="16"/>
              </w:rPr>
              <w:t xml:space="preserve"> company.</w:t>
            </w:r>
          </w:p>
          <w:p w:rsidR="00805208" w:rsidRPr="008B720A" w:rsidRDefault="00805208" w:rsidP="00805208">
            <w:pPr>
              <w:rPr>
                <w:rFonts w:eastAsia="Verdana"/>
                <w:color w:val="auto"/>
                <w:sz w:val="16"/>
                <w:szCs w:val="16"/>
              </w:rPr>
            </w:pPr>
            <w:r w:rsidRPr="008B720A">
              <w:rPr>
                <w:rFonts w:eastAsia="Verdana"/>
                <w:color w:val="auto"/>
                <w:sz w:val="16"/>
                <w:szCs w:val="16"/>
              </w:rPr>
              <w:t xml:space="preserve">For companies drafting their statutory accounts under international accounting standards (IAS/IFRS) qualification, timing accrual and classification criteria set forth by such accounting standards are relevant also for corporate income tax purposes (art. 83, ITA). </w:t>
            </w:r>
          </w:p>
          <w:p w:rsidR="00764CED" w:rsidRPr="008B720A" w:rsidRDefault="00805208" w:rsidP="00805208">
            <w:pPr>
              <w:rPr>
                <w:rFonts w:eastAsia="Verdana"/>
                <w:color w:val="auto"/>
                <w:sz w:val="16"/>
                <w:szCs w:val="16"/>
              </w:rPr>
            </w:pPr>
            <w:r w:rsidRPr="008B720A">
              <w:rPr>
                <w:rFonts w:eastAsia="Verdana"/>
                <w:color w:val="auto"/>
                <w:sz w:val="16"/>
                <w:szCs w:val="16"/>
              </w:rPr>
              <w:t>Therefore, to extent under IAS/IFRS the credit is measured at initial recognition at a fair value lower than its value at maturity, subsequent amortisation of such difference under the effective interest method is subject to corporate income tax as interest income in the hands of the creditor company.</w:t>
            </w: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8B720A">
              <w:rPr>
                <w:rFonts w:eastAsia="Verdana"/>
                <w:bCs/>
                <w:color w:val="auto"/>
                <w:sz w:val="16"/>
                <w:szCs w:val="16"/>
              </w:rPr>
              <w:t xml:space="preserve"> (regardless of the </w:t>
            </w:r>
            <w:proofErr w:type="gramStart"/>
            <w:r w:rsidR="00B722C7" w:rsidRPr="008B720A">
              <w:rPr>
                <w:rFonts w:eastAsia="Verdana"/>
                <w:bCs/>
                <w:color w:val="auto"/>
                <w:sz w:val="16"/>
                <w:szCs w:val="16"/>
              </w:rPr>
              <w:t>non-MS</w:t>
            </w:r>
            <w:proofErr w:type="gramEnd"/>
            <w:r w:rsidR="00B722C7" w:rsidRPr="008B720A">
              <w:rPr>
                <w:rFonts w:eastAsia="Verdana"/>
                <w:bCs/>
                <w:color w:val="auto"/>
                <w:sz w:val="16"/>
                <w:szCs w:val="16"/>
              </w:rPr>
              <w:t xml:space="preserve"> assumption in the description of the Model).</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561D88" w:rsidP="005A0B07">
            <w:pPr>
              <w:rPr>
                <w:rFonts w:eastAsia="Verdana"/>
                <w:color w:val="auto"/>
                <w:sz w:val="16"/>
                <w:szCs w:val="16"/>
              </w:rPr>
            </w:pPr>
            <w:r w:rsidRPr="008B720A">
              <w:rPr>
                <w:rFonts w:eastAsia="Verdana"/>
                <w:color w:val="auto"/>
                <w:sz w:val="16"/>
                <w:szCs w:val="16"/>
              </w:rPr>
              <w:t>Qualification of financial instruments in Italy shall be assessed according to Article 44(2</w:t>
            </w:r>
            <w:proofErr w:type="gramStart"/>
            <w:r w:rsidRPr="008B720A">
              <w:rPr>
                <w:rFonts w:eastAsia="Verdana"/>
                <w:color w:val="auto"/>
                <w:sz w:val="16"/>
                <w:szCs w:val="16"/>
              </w:rPr>
              <w:t>)(</w:t>
            </w:r>
            <w:proofErr w:type="gramEnd"/>
            <w:r w:rsidRPr="008B720A">
              <w:rPr>
                <w:rFonts w:eastAsia="Verdana"/>
                <w:color w:val="auto"/>
                <w:sz w:val="16"/>
                <w:szCs w:val="16"/>
              </w:rPr>
              <w:t>a) ITA. An instrument is similar to share</w:t>
            </w:r>
            <w:r w:rsidR="004A68E1" w:rsidRPr="008B720A">
              <w:rPr>
                <w:rFonts w:eastAsia="Verdana"/>
                <w:color w:val="auto"/>
                <w:sz w:val="16"/>
                <w:szCs w:val="16"/>
              </w:rPr>
              <w:t>s</w:t>
            </w:r>
            <w:r w:rsidRPr="008B720A">
              <w:rPr>
                <w:rFonts w:eastAsia="Verdana"/>
                <w:color w:val="auto"/>
                <w:sz w:val="16"/>
                <w:szCs w:val="16"/>
              </w:rPr>
              <w:t xml:space="preserve"> if </w:t>
            </w:r>
            <w:r w:rsidR="007A264D" w:rsidRPr="008B720A">
              <w:rPr>
                <w:rFonts w:eastAsia="Verdana"/>
                <w:color w:val="auto"/>
                <w:sz w:val="16"/>
                <w:szCs w:val="16"/>
              </w:rPr>
              <w:t xml:space="preserve">(regardless of its qualification as debt or equity from an accounting and civil law perspective) </w:t>
            </w:r>
            <w:r w:rsidRPr="008B720A">
              <w:rPr>
                <w:rFonts w:eastAsia="Verdana"/>
                <w:color w:val="auto"/>
                <w:sz w:val="16"/>
                <w:szCs w:val="16"/>
              </w:rPr>
              <w:t xml:space="preserve">the income </w:t>
            </w:r>
            <w:r w:rsidR="004A68E1" w:rsidRPr="008B720A">
              <w:rPr>
                <w:rFonts w:eastAsia="Verdana"/>
                <w:color w:val="auto"/>
                <w:sz w:val="16"/>
                <w:szCs w:val="16"/>
              </w:rPr>
              <w:t>produced</w:t>
            </w:r>
            <w:r w:rsidRPr="008B720A">
              <w:rPr>
                <w:rFonts w:eastAsia="Verdana"/>
                <w:color w:val="auto"/>
                <w:sz w:val="16"/>
                <w:szCs w:val="16"/>
              </w:rPr>
              <w:t xml:space="preserve"> is wholly non-deductible in the foreign State. Assuming the case described in the Model ATP-Structure n. 2, considering that the income </w:t>
            </w:r>
            <w:r w:rsidR="005A0B07" w:rsidRPr="008B720A">
              <w:rPr>
                <w:rFonts w:eastAsia="Verdana"/>
                <w:color w:val="auto"/>
                <w:sz w:val="16"/>
                <w:szCs w:val="16"/>
              </w:rPr>
              <w:t>arising from</w:t>
            </w:r>
            <w:r w:rsidRPr="008B720A">
              <w:rPr>
                <w:rFonts w:eastAsia="Verdana"/>
                <w:color w:val="auto"/>
                <w:sz w:val="16"/>
                <w:szCs w:val="16"/>
              </w:rPr>
              <w:t xml:space="preserve"> MS C is deductible, it shall not be exempted in Italy.</w:t>
            </w:r>
          </w:p>
        </w:tc>
      </w:tr>
      <w:tr w:rsidR="0097352D" w:rsidRPr="008B720A" w:rsidTr="00BA6A51">
        <w:tc>
          <w:tcPr>
            <w:tcW w:w="5070" w:type="dxa"/>
            <w:shd w:val="clear" w:color="auto" w:fill="auto"/>
          </w:tcPr>
          <w:p w:rsidR="0097352D" w:rsidRPr="008B720A" w:rsidRDefault="0097352D"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If yes to 1</w:t>
            </w:r>
            <w:r w:rsidR="003A6F57" w:rsidRPr="008B720A">
              <w:rPr>
                <w:rFonts w:eastAsia="Verdana"/>
                <w:bCs/>
                <w:color w:val="auto"/>
                <w:sz w:val="16"/>
                <w:szCs w:val="16"/>
              </w:rPr>
              <w:t>1</w:t>
            </w:r>
            <w:r w:rsidRPr="008B720A">
              <w:rPr>
                <w:rFonts w:eastAsia="Verdana"/>
                <w:bCs/>
                <w:color w:val="auto"/>
                <w:sz w:val="16"/>
                <w:szCs w:val="16"/>
              </w:rPr>
              <w:t>,</w:t>
            </w:r>
          </w:p>
        </w:tc>
        <w:tc>
          <w:tcPr>
            <w:tcW w:w="3933" w:type="dxa"/>
            <w:shd w:val="clear" w:color="auto" w:fill="auto"/>
          </w:tcPr>
          <w:p w:rsidR="0097352D" w:rsidRPr="008B720A" w:rsidRDefault="0097352D" w:rsidP="0097352D">
            <w:pPr>
              <w:rPr>
                <w:rFonts w:eastAsia="Verdana"/>
                <w:color w:val="auto"/>
                <w:sz w:val="16"/>
                <w:szCs w:val="16"/>
              </w:rPr>
            </w:pPr>
          </w:p>
        </w:tc>
      </w:tr>
      <w:tr w:rsidR="0097352D" w:rsidRPr="008B720A" w:rsidTr="00BA6A51">
        <w:tc>
          <w:tcPr>
            <w:tcW w:w="5070" w:type="dxa"/>
            <w:tcBorders>
              <w:top w:val="single" w:sz="8" w:space="0" w:color="A7D3F5"/>
              <w:left w:val="single" w:sz="8" w:space="0" w:color="A7D3F5"/>
              <w:bottom w:val="single" w:sz="8" w:space="0" w:color="A7D3F5"/>
            </w:tcBorders>
            <w:shd w:val="clear" w:color="auto" w:fill="auto"/>
          </w:tcPr>
          <w:p w:rsidR="0097352D" w:rsidRPr="008B720A" w:rsidRDefault="0097352D" w:rsidP="00BA6A51">
            <w:pPr>
              <w:pStyle w:val="ListNumber"/>
              <w:numPr>
                <w:ilvl w:val="0"/>
                <w:numId w:val="23"/>
              </w:numPr>
              <w:ind w:left="680"/>
              <w:jc w:val="left"/>
              <w:rPr>
                <w:rFonts w:eastAsia="Verdana"/>
                <w:b/>
                <w:bCs/>
                <w:color w:val="auto"/>
                <w:sz w:val="16"/>
                <w:szCs w:val="16"/>
              </w:rPr>
            </w:pPr>
            <w:r w:rsidRPr="008B720A">
              <w:rPr>
                <w:rFonts w:eastAsia="Verdana"/>
                <w:bCs/>
                <w:color w:val="auto"/>
                <w:sz w:val="16"/>
                <w:szCs w:val="16"/>
              </w:rPr>
              <w:t>Please briefly explain which requirements should be fulfilled.</w:t>
            </w:r>
          </w:p>
        </w:tc>
        <w:tc>
          <w:tcPr>
            <w:tcW w:w="3933" w:type="dxa"/>
            <w:tcBorders>
              <w:top w:val="single" w:sz="8" w:space="0" w:color="A7D3F5"/>
              <w:bottom w:val="single" w:sz="8" w:space="0" w:color="A7D3F5"/>
              <w:right w:val="single" w:sz="8" w:space="0" w:color="A7D3F5"/>
            </w:tcBorders>
            <w:shd w:val="clear" w:color="auto" w:fill="auto"/>
          </w:tcPr>
          <w:p w:rsidR="0097352D" w:rsidRPr="008B720A" w:rsidRDefault="0097352D" w:rsidP="0097352D">
            <w:pPr>
              <w:rPr>
                <w:rFonts w:eastAsia="Verdana"/>
                <w:color w:val="auto"/>
                <w:sz w:val="16"/>
                <w:szCs w:val="16"/>
              </w:rPr>
            </w:pPr>
          </w:p>
        </w:tc>
      </w:tr>
      <w:tr w:rsidR="0097352D" w:rsidRPr="008B720A" w:rsidTr="00BA6A51">
        <w:tc>
          <w:tcPr>
            <w:tcW w:w="5070" w:type="dxa"/>
            <w:shd w:val="clear" w:color="auto" w:fill="auto"/>
          </w:tcPr>
          <w:p w:rsidR="0097352D" w:rsidRPr="008B720A" w:rsidRDefault="0097352D" w:rsidP="00BA6A51">
            <w:pPr>
              <w:pStyle w:val="ListNumber"/>
              <w:numPr>
                <w:ilvl w:val="0"/>
                <w:numId w:val="23"/>
              </w:numPr>
              <w:ind w:left="680"/>
              <w:jc w:val="left"/>
              <w:rPr>
                <w:rFonts w:eastAsia="Verdana"/>
                <w:b/>
                <w:bCs/>
                <w:color w:val="auto"/>
                <w:sz w:val="16"/>
                <w:szCs w:val="16"/>
              </w:rPr>
            </w:pPr>
            <w:r w:rsidRPr="008B720A">
              <w:rPr>
                <w:rFonts w:eastAsia="Verdana"/>
                <w:bCs/>
                <w:color w:val="auto"/>
                <w:sz w:val="16"/>
                <w:szCs w:val="16"/>
              </w:rPr>
              <w:t xml:space="preserve">How will the amendment of Article 4 of the EU Parent/Subsidiary Directive affect your answer? </w:t>
            </w:r>
          </w:p>
        </w:tc>
        <w:tc>
          <w:tcPr>
            <w:tcW w:w="3933" w:type="dxa"/>
            <w:shd w:val="clear" w:color="auto" w:fill="auto"/>
          </w:tcPr>
          <w:p w:rsidR="0097352D" w:rsidRPr="008B720A" w:rsidRDefault="0097352D" w:rsidP="0097352D">
            <w:pPr>
              <w:rPr>
                <w:rFonts w:eastAsia="Verdana"/>
                <w:color w:val="auto"/>
                <w:sz w:val="16"/>
                <w:szCs w:val="16"/>
              </w:rPr>
            </w:pPr>
          </w:p>
        </w:tc>
      </w:tr>
      <w:tr w:rsidR="009E71C6" w:rsidRPr="008B720A" w:rsidTr="00BA6A51">
        <w:tc>
          <w:tcPr>
            <w:tcW w:w="9003" w:type="dxa"/>
            <w:gridSpan w:val="2"/>
            <w:tcBorders>
              <w:top w:val="single" w:sz="8" w:space="0" w:color="A7D3F5"/>
              <w:bottom w:val="single" w:sz="8" w:space="0" w:color="A7D3F5"/>
            </w:tcBorders>
            <w:shd w:val="clear" w:color="auto" w:fill="C6D9F1"/>
          </w:tcPr>
          <w:p w:rsidR="009E71C6" w:rsidRPr="008B720A" w:rsidRDefault="009E71C6" w:rsidP="00427661">
            <w:pPr>
              <w:rPr>
                <w:rFonts w:eastAsia="Verdana"/>
                <w:b/>
                <w:bCs/>
                <w:sz w:val="18"/>
                <w:szCs w:val="22"/>
              </w:rPr>
            </w:pPr>
            <w:r w:rsidRPr="008B720A">
              <w:rPr>
                <w:rFonts w:eastAsia="Verdana"/>
                <w:b/>
                <w:bCs/>
                <w:i/>
                <w:sz w:val="16"/>
                <w:szCs w:val="16"/>
              </w:rPr>
              <w:t>Interest costs</w:t>
            </w:r>
          </w:p>
        </w:tc>
      </w:tr>
      <w:tr w:rsidR="009E71C6" w:rsidRPr="008B720A" w:rsidTr="00BA6A51">
        <w:tc>
          <w:tcPr>
            <w:tcW w:w="5070" w:type="dxa"/>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 xml:space="preserve">Are inter-group interest payments on </w:t>
            </w:r>
            <w:r w:rsidR="00C62116" w:rsidRPr="008B720A">
              <w:rPr>
                <w:rFonts w:eastAsia="Verdana"/>
                <w:bCs/>
                <w:color w:val="auto"/>
                <w:sz w:val="16"/>
                <w:szCs w:val="16"/>
              </w:rPr>
              <w:t>a</w:t>
            </w:r>
            <w:r w:rsidRPr="008B720A">
              <w:rPr>
                <w:rFonts w:eastAsia="Verdana"/>
                <w:bCs/>
                <w:color w:val="auto"/>
                <w:sz w:val="16"/>
                <w:szCs w:val="16"/>
              </w:rPr>
              <w:t xml:space="preserve"> loan granted by a foreign group member company tax deductible to a resident in your MS?</w:t>
            </w:r>
          </w:p>
        </w:tc>
        <w:tc>
          <w:tcPr>
            <w:tcW w:w="3933" w:type="dxa"/>
            <w:shd w:val="clear" w:color="auto" w:fill="auto"/>
          </w:tcPr>
          <w:p w:rsidR="009E71C6" w:rsidRPr="008B720A" w:rsidRDefault="00123FF5" w:rsidP="00672045">
            <w:pPr>
              <w:rPr>
                <w:rFonts w:eastAsia="Verdana"/>
                <w:color w:val="auto"/>
                <w:sz w:val="16"/>
                <w:szCs w:val="16"/>
              </w:rPr>
            </w:pPr>
            <w:r w:rsidRPr="008B720A">
              <w:rPr>
                <w:rFonts w:eastAsia="Verdana"/>
                <w:color w:val="auto"/>
                <w:sz w:val="16"/>
                <w:szCs w:val="16"/>
              </w:rPr>
              <w:t>Yes.</w:t>
            </w:r>
            <w:r w:rsidR="005A0B07" w:rsidRPr="008B720A">
              <w:rPr>
                <w:rFonts w:eastAsia="Verdana"/>
                <w:color w:val="auto"/>
                <w:sz w:val="16"/>
                <w:szCs w:val="16"/>
              </w:rPr>
              <w:t xml:space="preserve"> Subject to substantially to the same </w:t>
            </w:r>
            <w:r w:rsidR="00672045" w:rsidRPr="008B720A">
              <w:rPr>
                <w:rFonts w:eastAsia="Verdana"/>
                <w:color w:val="auto"/>
                <w:sz w:val="16"/>
                <w:szCs w:val="16"/>
              </w:rPr>
              <w:t>limitations</w:t>
            </w:r>
            <w:r w:rsidR="005A0B07" w:rsidRPr="008B720A">
              <w:rPr>
                <w:rFonts w:eastAsia="Verdana"/>
                <w:color w:val="auto"/>
                <w:sz w:val="16"/>
                <w:szCs w:val="16"/>
              </w:rPr>
              <w:t xml:space="preserve"> that </w:t>
            </w:r>
            <w:r w:rsidR="00672045" w:rsidRPr="008B720A">
              <w:rPr>
                <w:rFonts w:eastAsia="Verdana"/>
                <w:color w:val="auto"/>
                <w:sz w:val="16"/>
                <w:szCs w:val="16"/>
              </w:rPr>
              <w:t>apply</w:t>
            </w:r>
            <w:r w:rsidR="005A0B07" w:rsidRPr="008B720A">
              <w:rPr>
                <w:rFonts w:eastAsia="Verdana"/>
                <w:color w:val="auto"/>
                <w:sz w:val="16"/>
                <w:szCs w:val="16"/>
              </w:rPr>
              <w:t xml:space="preserve"> to interest on third party debt.</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If yes to 1</w:t>
            </w:r>
            <w:r w:rsidR="003A6F57" w:rsidRPr="008B720A">
              <w:rPr>
                <w:rFonts w:eastAsia="Verdana"/>
                <w:bCs/>
                <w:color w:val="auto"/>
                <w:sz w:val="16"/>
                <w:szCs w:val="16"/>
              </w:rPr>
              <w:t>3</w:t>
            </w:r>
            <w:r w:rsidRPr="008B720A">
              <w:rPr>
                <w:rFonts w:eastAsia="Verdana"/>
                <w:bCs/>
                <w:color w:val="auto"/>
                <w:sz w:val="16"/>
                <w:szCs w:val="16"/>
              </w:rPr>
              <w:t>,</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9E71C6" w:rsidP="009E71C6">
            <w:pPr>
              <w:rPr>
                <w:rFonts w:eastAsia="Verdana"/>
                <w:color w:val="auto"/>
                <w:sz w:val="16"/>
                <w:szCs w:val="16"/>
              </w:rPr>
            </w:pPr>
          </w:p>
        </w:tc>
      </w:tr>
      <w:tr w:rsidR="009E71C6" w:rsidRPr="008B720A" w:rsidTr="00BA6A51">
        <w:tc>
          <w:tcPr>
            <w:tcW w:w="5070" w:type="dxa"/>
            <w:shd w:val="clear" w:color="auto" w:fill="auto"/>
          </w:tcPr>
          <w:p w:rsidR="009E71C6" w:rsidRPr="008B720A" w:rsidRDefault="009E71C6" w:rsidP="00BA6A51">
            <w:pPr>
              <w:pStyle w:val="ListNumber"/>
              <w:numPr>
                <w:ilvl w:val="0"/>
                <w:numId w:val="25"/>
              </w:numPr>
              <w:ind w:left="709"/>
              <w:jc w:val="left"/>
              <w:rPr>
                <w:rFonts w:eastAsia="Verdana"/>
                <w:b/>
                <w:bCs/>
                <w:color w:val="auto"/>
                <w:sz w:val="16"/>
                <w:szCs w:val="16"/>
              </w:rPr>
            </w:pPr>
            <w:r w:rsidRPr="008B720A">
              <w:rPr>
                <w:rFonts w:eastAsia="Verdana"/>
                <w:bCs/>
                <w:color w:val="auto"/>
                <w:sz w:val="16"/>
                <w:szCs w:val="16"/>
              </w:rPr>
              <w:t>Does the tax deductibility depend on how the interest income is qualified for tax purposes in the creditor’s state? If yes, please briefly explain.</w:t>
            </w:r>
          </w:p>
        </w:tc>
        <w:tc>
          <w:tcPr>
            <w:tcW w:w="3933" w:type="dxa"/>
            <w:shd w:val="clear" w:color="auto" w:fill="auto"/>
          </w:tcPr>
          <w:p w:rsidR="004A68E1" w:rsidRPr="008B720A" w:rsidRDefault="004A68E1" w:rsidP="009E71C6">
            <w:pPr>
              <w:rPr>
                <w:rFonts w:eastAsia="Verdana"/>
                <w:color w:val="auto"/>
                <w:sz w:val="16"/>
                <w:szCs w:val="16"/>
              </w:rPr>
            </w:pPr>
            <w:r w:rsidRPr="008B720A">
              <w:rPr>
                <w:rFonts w:eastAsia="Verdana"/>
                <w:color w:val="auto"/>
                <w:sz w:val="16"/>
                <w:szCs w:val="16"/>
              </w:rPr>
              <w:t>No.</w:t>
            </w:r>
          </w:p>
          <w:p w:rsidR="006D6279" w:rsidRPr="008B720A" w:rsidRDefault="004A68E1" w:rsidP="009E71C6">
            <w:pPr>
              <w:rPr>
                <w:rFonts w:eastAsia="Verdana"/>
                <w:color w:val="auto"/>
                <w:sz w:val="16"/>
                <w:szCs w:val="16"/>
              </w:rPr>
            </w:pPr>
            <w:r w:rsidRPr="008B720A">
              <w:rPr>
                <w:rFonts w:eastAsia="Verdana"/>
                <w:color w:val="auto"/>
                <w:sz w:val="16"/>
                <w:szCs w:val="16"/>
              </w:rPr>
              <w:t>Interest deduction depends on two general rules and a cross-border provision.</w:t>
            </w:r>
            <w:r w:rsidR="004E49A2" w:rsidRPr="008B720A">
              <w:rPr>
                <w:rFonts w:eastAsia="Verdana"/>
                <w:color w:val="auto"/>
                <w:sz w:val="16"/>
                <w:szCs w:val="16"/>
              </w:rPr>
              <w:t xml:space="preserve"> </w:t>
            </w:r>
          </w:p>
          <w:p w:rsidR="004A68E1" w:rsidRPr="008B720A" w:rsidRDefault="004E49A2" w:rsidP="009E71C6">
            <w:pPr>
              <w:rPr>
                <w:rFonts w:eastAsia="Verdana"/>
                <w:color w:val="auto"/>
                <w:sz w:val="16"/>
                <w:szCs w:val="16"/>
              </w:rPr>
            </w:pPr>
            <w:r w:rsidRPr="008B720A">
              <w:rPr>
                <w:rFonts w:eastAsia="Verdana"/>
                <w:color w:val="auto"/>
                <w:sz w:val="16"/>
                <w:szCs w:val="16"/>
              </w:rPr>
              <w:lastRenderedPageBreak/>
              <w:t xml:space="preserve">The first general rule sets a deductibility limit up to the </w:t>
            </w:r>
            <w:r w:rsidR="00A410C9" w:rsidRPr="008B720A">
              <w:rPr>
                <w:rFonts w:eastAsia="Verdana"/>
                <w:color w:val="auto"/>
                <w:sz w:val="16"/>
                <w:szCs w:val="16"/>
              </w:rPr>
              <w:t xml:space="preserve">interest income accrued in the same tax period (net interest expenses) </w:t>
            </w:r>
            <w:r w:rsidRPr="008B720A">
              <w:rPr>
                <w:rFonts w:eastAsia="Verdana"/>
                <w:color w:val="auto"/>
                <w:sz w:val="16"/>
                <w:szCs w:val="16"/>
              </w:rPr>
              <w:t>and</w:t>
            </w:r>
            <w:r w:rsidR="00DE1F4F" w:rsidRPr="008B720A">
              <w:rPr>
                <w:rFonts w:eastAsia="Verdana"/>
                <w:color w:val="auto"/>
                <w:sz w:val="16"/>
                <w:szCs w:val="16"/>
              </w:rPr>
              <w:t xml:space="preserve"> for the excess</w:t>
            </w:r>
            <w:r w:rsidRPr="008B720A">
              <w:rPr>
                <w:rFonts w:eastAsia="Verdana"/>
                <w:color w:val="auto"/>
                <w:sz w:val="16"/>
                <w:szCs w:val="16"/>
              </w:rPr>
              <w:t xml:space="preserve"> </w:t>
            </w:r>
            <w:r w:rsidR="005A0B07" w:rsidRPr="008B720A">
              <w:rPr>
                <w:rFonts w:eastAsia="Verdana"/>
                <w:color w:val="auto"/>
                <w:sz w:val="16"/>
                <w:szCs w:val="16"/>
              </w:rPr>
              <w:t xml:space="preserve">up to </w:t>
            </w:r>
            <w:r w:rsidRPr="008B720A">
              <w:rPr>
                <w:rFonts w:eastAsia="Verdana"/>
                <w:color w:val="auto"/>
                <w:sz w:val="16"/>
                <w:szCs w:val="16"/>
              </w:rPr>
              <w:t>30% of the EBITDA (Article 96 ITA).</w:t>
            </w:r>
          </w:p>
          <w:p w:rsidR="00C655D4" w:rsidRPr="008B720A" w:rsidRDefault="00C655D4" w:rsidP="009E71C6">
            <w:pPr>
              <w:rPr>
                <w:rFonts w:eastAsia="Verdana"/>
                <w:color w:val="auto"/>
                <w:sz w:val="16"/>
                <w:szCs w:val="16"/>
              </w:rPr>
            </w:pPr>
            <w:r w:rsidRPr="008B720A">
              <w:rPr>
                <w:rFonts w:eastAsia="Verdana"/>
                <w:color w:val="auto"/>
                <w:sz w:val="16"/>
                <w:szCs w:val="16"/>
              </w:rPr>
              <w:t>Special rules are applicable to banks and financial institutions. In these cases, interest income is deductible with the limit of 96% of the actual amount</w:t>
            </w:r>
            <w:r w:rsidR="00B1578F" w:rsidRPr="008B720A">
              <w:rPr>
                <w:rFonts w:eastAsia="Verdana"/>
                <w:color w:val="auto"/>
                <w:sz w:val="16"/>
                <w:szCs w:val="16"/>
              </w:rPr>
              <w:t xml:space="preserve"> paid</w:t>
            </w:r>
            <w:r w:rsidRPr="008B720A">
              <w:rPr>
                <w:rFonts w:eastAsia="Verdana"/>
                <w:color w:val="auto"/>
                <w:sz w:val="16"/>
                <w:szCs w:val="16"/>
              </w:rPr>
              <w:t>.</w:t>
            </w:r>
          </w:p>
          <w:p w:rsidR="004E49A2" w:rsidRPr="008B720A" w:rsidRDefault="004E49A2" w:rsidP="009E71C6">
            <w:pPr>
              <w:rPr>
                <w:rFonts w:eastAsia="Verdana"/>
                <w:color w:val="auto"/>
                <w:sz w:val="16"/>
                <w:szCs w:val="16"/>
              </w:rPr>
            </w:pPr>
            <w:r w:rsidRPr="008B720A">
              <w:rPr>
                <w:rFonts w:eastAsia="Verdana"/>
                <w:color w:val="auto"/>
                <w:sz w:val="16"/>
                <w:szCs w:val="16"/>
              </w:rPr>
              <w:t xml:space="preserve">The second general rule is the transfer pricing </w:t>
            </w:r>
            <w:proofErr w:type="gramStart"/>
            <w:r w:rsidRPr="008B720A">
              <w:rPr>
                <w:rFonts w:eastAsia="Verdana"/>
                <w:color w:val="auto"/>
                <w:sz w:val="16"/>
                <w:szCs w:val="16"/>
              </w:rPr>
              <w:t>discipline(</w:t>
            </w:r>
            <w:proofErr w:type="gramEnd"/>
            <w:r w:rsidRPr="008B720A">
              <w:rPr>
                <w:rFonts w:eastAsia="Verdana"/>
                <w:color w:val="auto"/>
                <w:sz w:val="16"/>
                <w:szCs w:val="16"/>
              </w:rPr>
              <w:t>Article</w:t>
            </w:r>
            <w:r w:rsidR="00EE6801" w:rsidRPr="008B720A">
              <w:rPr>
                <w:rFonts w:eastAsia="Verdana"/>
                <w:color w:val="auto"/>
                <w:sz w:val="16"/>
                <w:szCs w:val="16"/>
              </w:rPr>
              <w:t>s</w:t>
            </w:r>
            <w:r w:rsidRPr="008B720A">
              <w:rPr>
                <w:rFonts w:eastAsia="Verdana"/>
                <w:color w:val="auto"/>
                <w:sz w:val="16"/>
                <w:szCs w:val="16"/>
              </w:rPr>
              <w:t xml:space="preserve"> 110(7)</w:t>
            </w:r>
            <w:r w:rsidR="00EE6801" w:rsidRPr="008B720A">
              <w:rPr>
                <w:rFonts w:eastAsia="Verdana"/>
                <w:color w:val="auto"/>
                <w:sz w:val="16"/>
                <w:szCs w:val="16"/>
              </w:rPr>
              <w:t xml:space="preserve">and </w:t>
            </w:r>
            <w:r w:rsidRPr="008B720A">
              <w:rPr>
                <w:rFonts w:eastAsia="Verdana"/>
                <w:color w:val="auto"/>
                <w:sz w:val="16"/>
                <w:szCs w:val="16"/>
              </w:rPr>
              <w:t>9 ITA).</w:t>
            </w:r>
          </w:p>
          <w:p w:rsidR="00C655D4" w:rsidRPr="008B720A" w:rsidRDefault="004E49A2" w:rsidP="009E71C6">
            <w:pPr>
              <w:rPr>
                <w:rFonts w:eastAsia="Verdana"/>
                <w:color w:val="auto"/>
                <w:sz w:val="16"/>
                <w:szCs w:val="16"/>
              </w:rPr>
            </w:pPr>
            <w:r w:rsidRPr="008B720A">
              <w:rPr>
                <w:rFonts w:eastAsia="Verdana"/>
                <w:color w:val="auto"/>
                <w:sz w:val="16"/>
                <w:szCs w:val="16"/>
              </w:rPr>
              <w:t>The cross-border rule concerns the non-deductibility of interest paid to low tax jurisdictions</w:t>
            </w:r>
            <w:r w:rsidR="00B423F3" w:rsidRPr="008B720A">
              <w:rPr>
                <w:rFonts w:eastAsia="Verdana"/>
                <w:color w:val="auto"/>
                <w:sz w:val="16"/>
                <w:szCs w:val="16"/>
              </w:rPr>
              <w:t>, unless proof is given that the foreign recipient carries out an effective business activity or that the transaction meets an actual economic interest and has been effectively carried out</w:t>
            </w:r>
            <w:r w:rsidRPr="008B720A">
              <w:rPr>
                <w:rFonts w:eastAsia="Verdana"/>
                <w:color w:val="auto"/>
                <w:sz w:val="16"/>
                <w:szCs w:val="16"/>
              </w:rPr>
              <w:t xml:space="preserve"> (Article 110(10) ITA).</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numPr>
                <w:ilvl w:val="0"/>
                <w:numId w:val="25"/>
              </w:numPr>
              <w:ind w:left="709"/>
              <w:jc w:val="left"/>
              <w:rPr>
                <w:rFonts w:eastAsia="Verdana"/>
                <w:b/>
                <w:bCs/>
                <w:color w:val="auto"/>
                <w:sz w:val="16"/>
                <w:szCs w:val="16"/>
              </w:rPr>
            </w:pPr>
            <w:r w:rsidRPr="008B720A">
              <w:rPr>
                <w:rFonts w:eastAsia="Verdana"/>
                <w:bCs/>
                <w:color w:val="auto"/>
                <w:sz w:val="16"/>
                <w:szCs w:val="16"/>
              </w:rPr>
              <w:lastRenderedPageBreak/>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DE1F4F" w:rsidP="009E71C6">
            <w:pPr>
              <w:rPr>
                <w:rFonts w:eastAsia="Verdana"/>
                <w:color w:val="auto"/>
                <w:sz w:val="16"/>
                <w:szCs w:val="16"/>
              </w:rPr>
            </w:pPr>
            <w:r w:rsidRPr="008B720A">
              <w:rPr>
                <w:rFonts w:eastAsia="Verdana"/>
                <w:color w:val="auto"/>
                <w:sz w:val="16"/>
                <w:szCs w:val="16"/>
              </w:rPr>
              <w:t>Yes.</w:t>
            </w:r>
          </w:p>
        </w:tc>
      </w:tr>
      <w:tr w:rsidR="009E71C6" w:rsidRPr="008B720A" w:rsidTr="00BA6A51">
        <w:tc>
          <w:tcPr>
            <w:tcW w:w="5070" w:type="dxa"/>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Is the tax deduction of interest cost on inter-group debt subject to any thin capitalisation-rules or other interest deduction limitations-rules?</w:t>
            </w:r>
          </w:p>
        </w:tc>
        <w:tc>
          <w:tcPr>
            <w:tcW w:w="3933" w:type="dxa"/>
            <w:shd w:val="clear" w:color="auto" w:fill="auto"/>
          </w:tcPr>
          <w:p w:rsidR="009E71C6" w:rsidRPr="008B720A" w:rsidRDefault="00ED6A83" w:rsidP="00F40924">
            <w:pPr>
              <w:rPr>
                <w:rFonts w:eastAsia="Verdana"/>
                <w:color w:val="auto"/>
                <w:sz w:val="16"/>
                <w:szCs w:val="16"/>
              </w:rPr>
            </w:pPr>
            <w:r w:rsidRPr="008B720A">
              <w:rPr>
                <w:rFonts w:eastAsia="Verdana"/>
                <w:color w:val="auto"/>
                <w:sz w:val="16"/>
                <w:szCs w:val="16"/>
              </w:rPr>
              <w:t>No, as regards thin-cap rules. Yes</w:t>
            </w:r>
            <w:r w:rsidR="00B328B8" w:rsidRPr="008B720A">
              <w:rPr>
                <w:rFonts w:eastAsia="Verdana"/>
                <w:color w:val="auto"/>
                <w:sz w:val="16"/>
                <w:szCs w:val="16"/>
              </w:rPr>
              <w:t>,</w:t>
            </w:r>
            <w:r w:rsidRPr="008B720A">
              <w:rPr>
                <w:rFonts w:eastAsia="Verdana"/>
                <w:color w:val="auto"/>
                <w:sz w:val="16"/>
                <w:szCs w:val="16"/>
              </w:rPr>
              <w:t xml:space="preserve"> </w:t>
            </w:r>
            <w:r w:rsidR="00B328B8" w:rsidRPr="008B720A">
              <w:rPr>
                <w:rFonts w:eastAsia="Verdana"/>
                <w:bCs/>
                <w:color w:val="auto"/>
                <w:sz w:val="16"/>
                <w:szCs w:val="16"/>
              </w:rPr>
              <w:t>o</w:t>
            </w:r>
            <w:r w:rsidRPr="008B720A">
              <w:rPr>
                <w:rFonts w:eastAsia="Verdana"/>
                <w:bCs/>
                <w:color w:val="auto"/>
                <w:sz w:val="16"/>
                <w:szCs w:val="16"/>
              </w:rPr>
              <w:t>ther interest deduction limitations-rules are:</w:t>
            </w:r>
            <w:r w:rsidRPr="008B720A">
              <w:rPr>
                <w:rFonts w:eastAsia="Verdana"/>
                <w:color w:val="auto"/>
                <w:sz w:val="16"/>
                <w:szCs w:val="16"/>
              </w:rPr>
              <w:t xml:space="preserve"> </w:t>
            </w:r>
            <w:r w:rsidR="00B328B8" w:rsidRPr="008B720A">
              <w:rPr>
                <w:rFonts w:eastAsia="Verdana"/>
                <w:color w:val="auto"/>
                <w:sz w:val="16"/>
                <w:szCs w:val="16"/>
              </w:rPr>
              <w:t>d</w:t>
            </w:r>
            <w:r w:rsidR="00DE1F4F" w:rsidRPr="008B720A">
              <w:rPr>
                <w:rFonts w:eastAsia="Verdana"/>
                <w:color w:val="auto"/>
                <w:sz w:val="16"/>
                <w:szCs w:val="16"/>
              </w:rPr>
              <w:t>eduction of interest expenses is subject to (</w:t>
            </w:r>
            <w:proofErr w:type="spellStart"/>
            <w:r w:rsidR="00DE1F4F" w:rsidRPr="008B720A">
              <w:rPr>
                <w:rFonts w:eastAsia="Verdana"/>
                <w:color w:val="auto"/>
                <w:sz w:val="16"/>
                <w:szCs w:val="16"/>
              </w:rPr>
              <w:t>i</w:t>
            </w:r>
            <w:proofErr w:type="spellEnd"/>
            <w:r w:rsidR="00DE1F4F" w:rsidRPr="008B720A">
              <w:rPr>
                <w:rFonts w:eastAsia="Verdana"/>
                <w:color w:val="auto"/>
                <w:sz w:val="16"/>
                <w:szCs w:val="16"/>
              </w:rPr>
              <w:t>)</w:t>
            </w:r>
            <w:r w:rsidR="00B1578F" w:rsidRPr="008B720A">
              <w:rPr>
                <w:rFonts w:eastAsia="Verdana"/>
                <w:color w:val="auto"/>
                <w:sz w:val="16"/>
                <w:szCs w:val="16"/>
              </w:rPr>
              <w:t xml:space="preserve"> </w:t>
            </w:r>
            <w:proofErr w:type="spellStart"/>
            <w:r w:rsidR="00672045" w:rsidRPr="008B720A">
              <w:rPr>
                <w:rFonts w:eastAsia="Verdana"/>
                <w:color w:val="auto"/>
                <w:sz w:val="16"/>
                <w:szCs w:val="16"/>
              </w:rPr>
              <w:t>an</w:t>
            </w:r>
            <w:proofErr w:type="spellEnd"/>
            <w:r w:rsidR="00672045" w:rsidRPr="008B720A">
              <w:rPr>
                <w:rFonts w:eastAsia="Verdana"/>
                <w:color w:val="auto"/>
                <w:sz w:val="16"/>
                <w:szCs w:val="16"/>
              </w:rPr>
              <w:t xml:space="preserve"> </w:t>
            </w:r>
            <w:r w:rsidR="00123FF5" w:rsidRPr="008B720A">
              <w:rPr>
                <w:rFonts w:eastAsia="Verdana"/>
                <w:color w:val="auto"/>
                <w:sz w:val="16"/>
                <w:szCs w:val="16"/>
              </w:rPr>
              <w:t>EBITDA limitation rule</w:t>
            </w:r>
            <w:r w:rsidR="00B30D26" w:rsidRPr="008B720A">
              <w:rPr>
                <w:rFonts w:eastAsia="Verdana"/>
                <w:color w:val="auto"/>
                <w:sz w:val="16"/>
                <w:szCs w:val="16"/>
              </w:rPr>
              <w:t xml:space="preserve">, </w:t>
            </w:r>
            <w:r w:rsidR="00DE1F4F" w:rsidRPr="008B720A">
              <w:rPr>
                <w:rFonts w:eastAsia="Verdana"/>
                <w:color w:val="auto"/>
                <w:sz w:val="16"/>
                <w:szCs w:val="16"/>
              </w:rPr>
              <w:t xml:space="preserve">(ii) the </w:t>
            </w:r>
            <w:r w:rsidR="00B30D26" w:rsidRPr="008B720A">
              <w:rPr>
                <w:rFonts w:eastAsia="Verdana"/>
                <w:color w:val="auto"/>
                <w:sz w:val="16"/>
                <w:szCs w:val="16"/>
              </w:rPr>
              <w:t>transfer pricing rule</w:t>
            </w:r>
            <w:r w:rsidR="00123FF5" w:rsidRPr="008B720A">
              <w:rPr>
                <w:rFonts w:eastAsia="Verdana"/>
                <w:color w:val="auto"/>
                <w:sz w:val="16"/>
                <w:szCs w:val="16"/>
              </w:rPr>
              <w:t xml:space="preserve"> and </w:t>
            </w:r>
            <w:r w:rsidR="00DE1F4F" w:rsidRPr="008B720A">
              <w:rPr>
                <w:rFonts w:eastAsia="Verdana"/>
                <w:color w:val="auto"/>
                <w:sz w:val="16"/>
                <w:szCs w:val="16"/>
              </w:rPr>
              <w:t xml:space="preserve">(iii) </w:t>
            </w:r>
            <w:r w:rsidR="00123FF5" w:rsidRPr="008B720A">
              <w:rPr>
                <w:rFonts w:eastAsia="Verdana"/>
                <w:color w:val="auto"/>
                <w:sz w:val="16"/>
                <w:szCs w:val="16"/>
              </w:rPr>
              <w:t>a special low tax</w:t>
            </w:r>
            <w:r w:rsidR="00B30D26" w:rsidRPr="008B720A">
              <w:rPr>
                <w:rFonts w:eastAsia="Verdana"/>
                <w:color w:val="auto"/>
                <w:sz w:val="16"/>
                <w:szCs w:val="16"/>
              </w:rPr>
              <w:t xml:space="preserve"> jurisdiction</w:t>
            </w:r>
            <w:r w:rsidR="00123FF5" w:rsidRPr="008B720A">
              <w:rPr>
                <w:rFonts w:eastAsia="Verdana"/>
                <w:color w:val="auto"/>
                <w:sz w:val="16"/>
                <w:szCs w:val="16"/>
              </w:rPr>
              <w:t xml:space="preserve"> rule apply</w:t>
            </w:r>
            <w:r w:rsidR="00B30D26" w:rsidRPr="008B720A">
              <w:rPr>
                <w:rFonts w:eastAsia="Verdana"/>
                <w:color w:val="auto"/>
                <w:sz w:val="16"/>
                <w:szCs w:val="16"/>
              </w:rPr>
              <w:t xml:space="preserve"> (</w:t>
            </w:r>
            <w:proofErr w:type="spellStart"/>
            <w:r w:rsidR="00B30D26" w:rsidRPr="008B720A">
              <w:rPr>
                <w:rFonts w:eastAsia="Verdana"/>
                <w:color w:val="auto"/>
                <w:sz w:val="16"/>
                <w:szCs w:val="16"/>
              </w:rPr>
              <w:t>see n</w:t>
            </w:r>
            <w:proofErr w:type="spellEnd"/>
            <w:r w:rsidR="00B30D26" w:rsidRPr="008B720A">
              <w:rPr>
                <w:rFonts w:eastAsia="Verdana"/>
                <w:color w:val="auto"/>
                <w:sz w:val="16"/>
                <w:szCs w:val="16"/>
              </w:rPr>
              <w:t>. 14)</w:t>
            </w:r>
            <w:r w:rsidR="00123FF5" w:rsidRPr="008B720A">
              <w:rPr>
                <w:rFonts w:eastAsia="Verdana"/>
                <w:color w:val="auto"/>
                <w:sz w:val="16"/>
                <w:szCs w:val="16"/>
              </w:rPr>
              <w:t>.</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If yes to 1</w:t>
            </w:r>
            <w:r w:rsidR="003A6F57" w:rsidRPr="008B720A">
              <w:rPr>
                <w:rFonts w:eastAsia="Verdana"/>
                <w:bCs/>
                <w:color w:val="auto"/>
                <w:sz w:val="16"/>
                <w:szCs w:val="16"/>
              </w:rPr>
              <w:t>5</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9E71C6" w:rsidP="009E71C6">
            <w:pPr>
              <w:rPr>
                <w:rFonts w:eastAsia="Verdana"/>
                <w:color w:val="auto"/>
                <w:sz w:val="16"/>
                <w:szCs w:val="16"/>
              </w:rPr>
            </w:pPr>
          </w:p>
        </w:tc>
      </w:tr>
      <w:tr w:rsidR="009E71C6" w:rsidRPr="008B720A" w:rsidTr="00BA6A51">
        <w:tc>
          <w:tcPr>
            <w:tcW w:w="5070" w:type="dxa"/>
            <w:shd w:val="clear" w:color="auto" w:fill="auto"/>
          </w:tcPr>
          <w:p w:rsidR="009E71C6" w:rsidRPr="008B720A" w:rsidRDefault="009E71C6" w:rsidP="00BA6A51">
            <w:pPr>
              <w:pStyle w:val="ListNumber"/>
              <w:numPr>
                <w:ilvl w:val="0"/>
                <w:numId w:val="26"/>
              </w:numPr>
              <w:ind w:left="709"/>
              <w:jc w:val="left"/>
              <w:rPr>
                <w:rFonts w:eastAsia="Verdana"/>
                <w:b/>
                <w:bCs/>
                <w:color w:val="auto"/>
                <w:sz w:val="16"/>
                <w:szCs w:val="16"/>
              </w:rPr>
            </w:pPr>
            <w:r w:rsidRPr="008B720A">
              <w:rPr>
                <w:rFonts w:eastAsia="Verdana"/>
                <w:bCs/>
                <w:color w:val="auto"/>
                <w:sz w:val="16"/>
                <w:szCs w:val="16"/>
              </w:rPr>
              <w:t>Please briefly explain the general scope and mechanism of the rules.</w:t>
            </w:r>
          </w:p>
        </w:tc>
        <w:tc>
          <w:tcPr>
            <w:tcW w:w="3933" w:type="dxa"/>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Interest expenses are deductible up to the amount equal to interest income accrued in the same tax period (net interest expenses). Any excess over that amount is deductible up to 30% of the gross operating income (EBITDA). Any excess of interest expenses over 30% of EBITDA may be carried forward without time limitation. If, in a fiscal year, there is an excess of 30% of the EBITDA over the net interest expenses, such excess may be carried forward without limitation and may be used to increase the relevant threshold in the following tax years.</w:t>
            </w:r>
          </w:p>
          <w:p w:rsidR="00123FF5" w:rsidRPr="008B720A" w:rsidRDefault="00123FF5" w:rsidP="00123FF5">
            <w:pPr>
              <w:rPr>
                <w:rFonts w:eastAsia="Verdana"/>
                <w:color w:val="auto"/>
                <w:sz w:val="16"/>
                <w:szCs w:val="16"/>
              </w:rPr>
            </w:pPr>
          </w:p>
          <w:p w:rsidR="00123FF5" w:rsidRPr="008B720A" w:rsidRDefault="00123FF5" w:rsidP="00123FF5">
            <w:pPr>
              <w:rPr>
                <w:rFonts w:eastAsia="Verdana"/>
                <w:color w:val="auto"/>
                <w:sz w:val="16"/>
                <w:szCs w:val="16"/>
              </w:rPr>
            </w:pPr>
            <w:r w:rsidRPr="008B720A">
              <w:rPr>
                <w:rFonts w:eastAsia="Verdana"/>
                <w:color w:val="auto"/>
                <w:sz w:val="16"/>
                <w:szCs w:val="16"/>
              </w:rPr>
              <w:t>Further interest on bonds and commercial papers issued by limited liability companies</w:t>
            </w:r>
            <w:r w:rsidR="00B423F3" w:rsidRPr="008B720A">
              <w:rPr>
                <w:rFonts w:eastAsia="Verdana"/>
                <w:color w:val="auto"/>
                <w:sz w:val="16"/>
                <w:szCs w:val="16"/>
              </w:rPr>
              <w:t xml:space="preserve"> (other than banks or companies</w:t>
            </w:r>
            <w:r w:rsidRPr="008B720A">
              <w:rPr>
                <w:rFonts w:eastAsia="Verdana"/>
                <w:color w:val="auto"/>
                <w:sz w:val="16"/>
                <w:szCs w:val="16"/>
              </w:rPr>
              <w:t xml:space="preserve"> whose shares are not traded on a regulated stock exchange of an EEA country included in the Italian white list</w:t>
            </w:r>
            <w:r w:rsidR="00B423F3" w:rsidRPr="008B720A">
              <w:rPr>
                <w:rFonts w:eastAsia="Verdana"/>
                <w:color w:val="auto"/>
                <w:sz w:val="16"/>
                <w:szCs w:val="16"/>
              </w:rPr>
              <w:t>)</w:t>
            </w:r>
            <w:r w:rsidRPr="008B720A">
              <w:rPr>
                <w:rFonts w:eastAsia="Verdana"/>
                <w:color w:val="auto"/>
                <w:sz w:val="16"/>
                <w:szCs w:val="16"/>
              </w:rPr>
              <w:t xml:space="preserve"> cannot be deducted for the portion that exceeds:</w:t>
            </w:r>
          </w:p>
          <w:p w:rsidR="00123FF5" w:rsidRPr="008B720A" w:rsidRDefault="00123FF5" w:rsidP="00BA6A51">
            <w:pPr>
              <w:numPr>
                <w:ilvl w:val="0"/>
                <w:numId w:val="32"/>
              </w:numPr>
              <w:rPr>
                <w:rFonts w:eastAsia="Verdana"/>
                <w:color w:val="auto"/>
                <w:sz w:val="16"/>
                <w:szCs w:val="16"/>
              </w:rPr>
            </w:pPr>
            <w:r w:rsidRPr="008B720A">
              <w:rPr>
                <w:rFonts w:eastAsia="Verdana"/>
                <w:color w:val="auto"/>
                <w:sz w:val="16"/>
                <w:szCs w:val="16"/>
              </w:rPr>
              <w:t>200% of the official discount rate, in the case of listed bonds or bonds offered to the public; or</w:t>
            </w:r>
          </w:p>
          <w:p w:rsidR="00123FF5" w:rsidRPr="008B720A" w:rsidRDefault="00123FF5" w:rsidP="00BA6A51">
            <w:pPr>
              <w:numPr>
                <w:ilvl w:val="0"/>
                <w:numId w:val="32"/>
              </w:numPr>
              <w:rPr>
                <w:rFonts w:eastAsia="Verdana"/>
                <w:color w:val="auto"/>
                <w:sz w:val="16"/>
                <w:szCs w:val="16"/>
              </w:rPr>
            </w:pPr>
            <w:r w:rsidRPr="008B720A">
              <w:rPr>
                <w:rFonts w:eastAsia="Verdana"/>
                <w:color w:val="auto"/>
                <w:sz w:val="16"/>
                <w:szCs w:val="16"/>
              </w:rPr>
              <w:t>166% of the official discount rate, in the case of other bonds.</w:t>
            </w:r>
          </w:p>
          <w:p w:rsidR="00B423F3" w:rsidRPr="008B720A" w:rsidRDefault="00123FF5" w:rsidP="00761BDE">
            <w:pPr>
              <w:rPr>
                <w:rFonts w:eastAsia="Verdana"/>
                <w:color w:val="auto"/>
                <w:sz w:val="16"/>
                <w:szCs w:val="16"/>
              </w:rPr>
            </w:pPr>
            <w:r w:rsidRPr="008B720A">
              <w:rPr>
                <w:rFonts w:eastAsia="Verdana"/>
                <w:color w:val="auto"/>
                <w:sz w:val="16"/>
                <w:szCs w:val="16"/>
              </w:rPr>
              <w:t>The limitation does not apply to bonds and commercial papers that are issued by unlisted companies (</w:t>
            </w:r>
            <w:r w:rsidR="00B423F3" w:rsidRPr="008B720A">
              <w:rPr>
                <w:rFonts w:eastAsia="Verdana"/>
                <w:color w:val="auto"/>
                <w:sz w:val="16"/>
                <w:szCs w:val="16"/>
              </w:rPr>
              <w:t>other than micro-enterprises, as defined in the recommendation of the EU Commission 2003/361/CE of 6 May 2003</w:t>
            </w:r>
            <w:r w:rsidRPr="008B720A">
              <w:rPr>
                <w:rFonts w:eastAsia="Verdana"/>
                <w:color w:val="auto"/>
                <w:sz w:val="16"/>
                <w:szCs w:val="16"/>
              </w:rPr>
              <w:t xml:space="preserve">) if </w:t>
            </w:r>
          </w:p>
          <w:p w:rsidR="009E71C6" w:rsidRPr="008B720A" w:rsidRDefault="00123FF5" w:rsidP="00E5221B">
            <w:pPr>
              <w:numPr>
                <w:ilvl w:val="0"/>
                <w:numId w:val="32"/>
              </w:numPr>
              <w:rPr>
                <w:rFonts w:eastAsia="Verdana"/>
                <w:color w:val="auto"/>
                <w:sz w:val="16"/>
                <w:szCs w:val="16"/>
              </w:rPr>
            </w:pPr>
            <w:r w:rsidRPr="008B720A">
              <w:rPr>
                <w:rFonts w:eastAsia="Verdana"/>
                <w:color w:val="auto"/>
                <w:sz w:val="16"/>
                <w:szCs w:val="16"/>
              </w:rPr>
              <w:t xml:space="preserve">the bonds or the commercial papers were issued on a regulated stock exchange or a multilateral trading facility of an EEA country </w:t>
            </w:r>
            <w:r w:rsidR="00761BDE" w:rsidRPr="008B720A">
              <w:rPr>
                <w:rFonts w:eastAsia="Verdana"/>
                <w:color w:val="auto"/>
                <w:sz w:val="16"/>
                <w:szCs w:val="16"/>
              </w:rPr>
              <w:t xml:space="preserve">not </w:t>
            </w:r>
            <w:r w:rsidRPr="008B720A">
              <w:rPr>
                <w:rFonts w:eastAsia="Verdana"/>
                <w:color w:val="auto"/>
                <w:sz w:val="16"/>
                <w:szCs w:val="16"/>
              </w:rPr>
              <w:t xml:space="preserve">included in the Italian </w:t>
            </w:r>
            <w:r w:rsidR="00761BDE" w:rsidRPr="008B720A">
              <w:rPr>
                <w:rFonts w:eastAsia="Verdana"/>
                <w:color w:val="auto"/>
                <w:sz w:val="16"/>
                <w:szCs w:val="16"/>
              </w:rPr>
              <w:t>black</w:t>
            </w:r>
            <w:r w:rsidRPr="008B720A">
              <w:rPr>
                <w:rFonts w:eastAsia="Verdana"/>
                <w:color w:val="auto"/>
                <w:sz w:val="16"/>
                <w:szCs w:val="16"/>
              </w:rPr>
              <w:t xml:space="preserve"> list</w:t>
            </w:r>
            <w:r w:rsidR="00B423F3" w:rsidRPr="008B720A">
              <w:rPr>
                <w:rFonts w:eastAsia="Verdana"/>
                <w:color w:val="auto"/>
                <w:sz w:val="16"/>
                <w:szCs w:val="16"/>
              </w:rPr>
              <w:t>; or</w:t>
            </w:r>
          </w:p>
          <w:p w:rsidR="00B423F3" w:rsidRPr="008B720A" w:rsidRDefault="00B423F3" w:rsidP="00E5221B">
            <w:pPr>
              <w:numPr>
                <w:ilvl w:val="0"/>
                <w:numId w:val="32"/>
              </w:numPr>
              <w:rPr>
                <w:rFonts w:eastAsia="Verdana"/>
                <w:color w:val="auto"/>
                <w:sz w:val="16"/>
                <w:szCs w:val="16"/>
              </w:rPr>
            </w:pPr>
            <w:r w:rsidRPr="008B720A">
              <w:rPr>
                <w:rFonts w:eastAsia="Verdana"/>
                <w:color w:val="auto"/>
                <w:sz w:val="16"/>
                <w:szCs w:val="16"/>
              </w:rPr>
              <w:t xml:space="preserve">the bonds or the commercial papers </w:t>
            </w:r>
            <w:r w:rsidRPr="008B720A">
              <w:rPr>
                <w:rFonts w:eastAsia="Verdana"/>
                <w:color w:val="auto"/>
                <w:sz w:val="16"/>
                <w:szCs w:val="16"/>
              </w:rPr>
              <w:lastRenderedPageBreak/>
              <w:t>are held by qualified professional investors that do not hold (directly or indirectly) more than</w:t>
            </w:r>
            <w:r w:rsidR="00B02191" w:rsidRPr="008B720A">
              <w:rPr>
                <w:rFonts w:eastAsia="Verdana"/>
                <w:color w:val="auto"/>
                <w:sz w:val="16"/>
                <w:szCs w:val="16"/>
              </w:rPr>
              <w:t xml:space="preserve"> [2%]</w:t>
            </w:r>
            <w:r w:rsidR="009014CD" w:rsidRPr="008B720A">
              <w:rPr>
                <w:rFonts w:eastAsia="Verdana"/>
                <w:color w:val="auto"/>
                <w:sz w:val="16"/>
                <w:szCs w:val="16"/>
              </w:rPr>
              <w:t xml:space="preserve"> </w:t>
            </w:r>
            <w:r w:rsidRPr="008B720A">
              <w:rPr>
                <w:rFonts w:eastAsia="Verdana"/>
                <w:color w:val="auto"/>
                <w:sz w:val="16"/>
                <w:szCs w:val="16"/>
              </w:rPr>
              <w:t>of the capital of the issuer and provided that beneficial owner of the interest is resident in Italy or in States allowing an adequate exchange of information with the Italian tax authorities.</w:t>
            </w:r>
          </w:p>
          <w:p w:rsidR="00761BDE" w:rsidRPr="008B720A" w:rsidRDefault="00761BDE" w:rsidP="00761BDE">
            <w:pPr>
              <w:rPr>
                <w:rFonts w:eastAsia="Verdana"/>
                <w:color w:val="auto"/>
                <w:sz w:val="16"/>
                <w:szCs w:val="16"/>
              </w:rPr>
            </w:pPr>
          </w:p>
          <w:p w:rsidR="00761BDE" w:rsidRPr="008B720A" w:rsidRDefault="00761BDE" w:rsidP="00761BDE">
            <w:pPr>
              <w:rPr>
                <w:rFonts w:eastAsia="Verdana"/>
                <w:color w:val="auto"/>
                <w:sz w:val="16"/>
                <w:szCs w:val="16"/>
              </w:rPr>
            </w:pPr>
            <w:r w:rsidRPr="008B720A">
              <w:rPr>
                <w:rFonts w:eastAsia="Verdana"/>
                <w:color w:val="auto"/>
                <w:sz w:val="16"/>
                <w:szCs w:val="16"/>
              </w:rPr>
              <w:t>As already mentioned, the transfer pricing rules allow the tax administration to determine the “ordinary value” (arm’s length) of the interest.</w:t>
            </w:r>
          </w:p>
          <w:p w:rsidR="00761BDE" w:rsidRPr="008B720A" w:rsidRDefault="00761BDE" w:rsidP="00761BDE">
            <w:pPr>
              <w:rPr>
                <w:rFonts w:eastAsia="Verdana"/>
                <w:color w:val="auto"/>
                <w:sz w:val="16"/>
                <w:szCs w:val="16"/>
              </w:rPr>
            </w:pPr>
            <w:r w:rsidRPr="008B720A">
              <w:rPr>
                <w:rFonts w:eastAsia="Verdana"/>
                <w:color w:val="auto"/>
                <w:sz w:val="16"/>
                <w:szCs w:val="16"/>
              </w:rPr>
              <w:t>The low-tax limitation prevents the deduction of interest paid to companies resident in black-list countries.</w:t>
            </w:r>
          </w:p>
          <w:p w:rsidR="00B1578F" w:rsidRPr="008B720A" w:rsidRDefault="00B1578F" w:rsidP="00761BDE">
            <w:pPr>
              <w:rPr>
                <w:rFonts w:eastAsia="Verdana"/>
                <w:color w:val="auto"/>
                <w:sz w:val="16"/>
                <w:szCs w:val="16"/>
              </w:rPr>
            </w:pPr>
          </w:p>
          <w:p w:rsidR="00B1578F" w:rsidRPr="008B720A" w:rsidRDefault="00B1578F" w:rsidP="00A31409">
            <w:pPr>
              <w:rPr>
                <w:rFonts w:eastAsia="Verdana"/>
                <w:color w:val="auto"/>
                <w:sz w:val="16"/>
                <w:szCs w:val="16"/>
              </w:rPr>
            </w:pPr>
            <w:r w:rsidRPr="008B720A">
              <w:rPr>
                <w:rFonts w:eastAsia="Verdana"/>
                <w:color w:val="auto"/>
                <w:sz w:val="16"/>
                <w:szCs w:val="16"/>
              </w:rPr>
              <w:t xml:space="preserve">Special rules are applicable to banks and financial institutions. In these cases, </w:t>
            </w:r>
            <w:proofErr w:type="gramStart"/>
            <w:r w:rsidRPr="008B720A">
              <w:rPr>
                <w:rFonts w:eastAsia="Verdana"/>
                <w:color w:val="auto"/>
                <w:sz w:val="16"/>
                <w:szCs w:val="16"/>
              </w:rPr>
              <w:t xml:space="preserve">interest </w:t>
            </w:r>
            <w:r w:rsidR="00A31409" w:rsidRPr="008B720A">
              <w:rPr>
                <w:rFonts w:eastAsia="Verdana"/>
                <w:color w:val="auto"/>
                <w:sz w:val="16"/>
                <w:szCs w:val="16"/>
              </w:rPr>
              <w:t>costs</w:t>
            </w:r>
            <w:r w:rsidRPr="008B720A">
              <w:rPr>
                <w:rFonts w:eastAsia="Verdana"/>
                <w:color w:val="auto"/>
                <w:sz w:val="16"/>
                <w:szCs w:val="16"/>
              </w:rPr>
              <w:t xml:space="preserve"> is</w:t>
            </w:r>
            <w:proofErr w:type="gramEnd"/>
            <w:r w:rsidRPr="008B720A">
              <w:rPr>
                <w:rFonts w:eastAsia="Verdana"/>
                <w:color w:val="auto"/>
                <w:sz w:val="16"/>
                <w:szCs w:val="16"/>
              </w:rPr>
              <w:t xml:space="preserve"> deductible with the limit of 96% of the actual amount paid.</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numPr>
                <w:ilvl w:val="0"/>
                <w:numId w:val="26"/>
              </w:numPr>
              <w:ind w:left="709"/>
              <w:jc w:val="left"/>
              <w:rPr>
                <w:rFonts w:eastAsia="Verdana"/>
                <w:b/>
                <w:bCs/>
                <w:color w:val="auto"/>
                <w:sz w:val="16"/>
                <w:szCs w:val="16"/>
              </w:rPr>
            </w:pPr>
            <w:r w:rsidRPr="008B720A">
              <w:rPr>
                <w:rFonts w:eastAsia="Verdana"/>
                <w:bCs/>
                <w:color w:val="auto"/>
                <w:sz w:val="16"/>
                <w:szCs w:val="16"/>
              </w:rPr>
              <w:lastRenderedPageBreak/>
              <w:t xml:space="preserve">In particular, do the rules apply only to interest costs on inter-group debt or more generally to all interest costs?  </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123FF5" w:rsidP="00B423F3">
            <w:pPr>
              <w:rPr>
                <w:rFonts w:eastAsia="Verdana"/>
                <w:color w:val="auto"/>
                <w:sz w:val="16"/>
                <w:szCs w:val="16"/>
              </w:rPr>
            </w:pPr>
            <w:r w:rsidRPr="008B720A">
              <w:rPr>
                <w:rFonts w:eastAsia="Verdana"/>
                <w:color w:val="auto"/>
                <w:sz w:val="16"/>
                <w:szCs w:val="16"/>
              </w:rPr>
              <w:t xml:space="preserve">The </w:t>
            </w:r>
            <w:r w:rsidR="00B423F3" w:rsidRPr="008B720A">
              <w:rPr>
                <w:rFonts w:eastAsia="Verdana"/>
                <w:color w:val="auto"/>
                <w:sz w:val="16"/>
                <w:szCs w:val="16"/>
              </w:rPr>
              <w:t xml:space="preserve">above </w:t>
            </w:r>
            <w:proofErr w:type="gramStart"/>
            <w:r w:rsidRPr="008B720A">
              <w:rPr>
                <w:rFonts w:eastAsia="Verdana"/>
                <w:color w:val="auto"/>
                <w:sz w:val="16"/>
                <w:szCs w:val="16"/>
              </w:rPr>
              <w:t>rule</w:t>
            </w:r>
            <w:r w:rsidR="00B423F3" w:rsidRPr="008B720A">
              <w:rPr>
                <w:rFonts w:eastAsia="Verdana"/>
                <w:color w:val="auto"/>
                <w:sz w:val="16"/>
                <w:szCs w:val="16"/>
              </w:rPr>
              <w:t>s</w:t>
            </w:r>
            <w:r w:rsidRPr="008B720A">
              <w:rPr>
                <w:rFonts w:eastAsia="Verdana"/>
                <w:color w:val="auto"/>
                <w:sz w:val="16"/>
                <w:szCs w:val="16"/>
              </w:rPr>
              <w:t xml:space="preserve"> applies</w:t>
            </w:r>
            <w:proofErr w:type="gramEnd"/>
            <w:r w:rsidRPr="008B720A">
              <w:rPr>
                <w:rFonts w:eastAsia="Verdana"/>
                <w:color w:val="auto"/>
                <w:sz w:val="16"/>
                <w:szCs w:val="16"/>
              </w:rPr>
              <w:t xml:space="preserve"> to all interest costs.</w:t>
            </w:r>
          </w:p>
        </w:tc>
      </w:tr>
      <w:tr w:rsidR="009E71C6" w:rsidRPr="008B720A" w:rsidTr="00BA6A51">
        <w:tc>
          <w:tcPr>
            <w:tcW w:w="5070" w:type="dxa"/>
            <w:shd w:val="clear" w:color="auto" w:fill="auto"/>
          </w:tcPr>
          <w:p w:rsidR="009E71C6" w:rsidRPr="008B720A" w:rsidRDefault="009E71C6" w:rsidP="00BA6A51">
            <w:pPr>
              <w:pStyle w:val="ListNumber"/>
              <w:numPr>
                <w:ilvl w:val="0"/>
                <w:numId w:val="26"/>
              </w:numPr>
              <w:ind w:left="709"/>
              <w:jc w:val="left"/>
              <w:rPr>
                <w:rFonts w:eastAsia="Verdana"/>
                <w:b/>
                <w:bCs/>
                <w:color w:val="auto"/>
                <w:sz w:val="16"/>
                <w:szCs w:val="16"/>
              </w:rPr>
            </w:pPr>
            <w:r w:rsidRPr="008B720A">
              <w:rPr>
                <w:rFonts w:eastAsia="Verdana"/>
                <w:bCs/>
                <w:color w:val="auto"/>
                <w:sz w:val="16"/>
                <w:szCs w:val="16"/>
              </w:rPr>
              <w:t xml:space="preserve">Do the rules take into account the </w:t>
            </w:r>
            <w:r w:rsidR="00387B75" w:rsidRPr="008B720A">
              <w:rPr>
                <w:rFonts w:eastAsia="Verdana"/>
                <w:bCs/>
                <w:color w:val="auto"/>
                <w:sz w:val="16"/>
                <w:szCs w:val="16"/>
              </w:rPr>
              <w:t>worldwide</w:t>
            </w:r>
            <w:r w:rsidRPr="008B720A">
              <w:rPr>
                <w:rFonts w:eastAsia="Verdana"/>
                <w:bCs/>
                <w:color w:val="auto"/>
                <w:sz w:val="16"/>
                <w:szCs w:val="16"/>
              </w:rPr>
              <w:t xml:space="preserve"> debt ratio of the group of companies?</w:t>
            </w:r>
          </w:p>
        </w:tc>
        <w:tc>
          <w:tcPr>
            <w:tcW w:w="3933" w:type="dxa"/>
            <w:shd w:val="clear" w:color="auto" w:fill="auto"/>
          </w:tcPr>
          <w:p w:rsidR="00EF62EB" w:rsidRPr="008B720A" w:rsidRDefault="00EF62EB" w:rsidP="00123FF5">
            <w:pPr>
              <w:rPr>
                <w:rFonts w:eastAsia="Verdana"/>
                <w:color w:val="auto"/>
                <w:sz w:val="16"/>
                <w:szCs w:val="16"/>
              </w:rPr>
            </w:pPr>
            <w:r w:rsidRPr="008B720A">
              <w:rPr>
                <w:rFonts w:eastAsia="Verdana"/>
                <w:color w:val="auto"/>
                <w:sz w:val="16"/>
                <w:szCs w:val="16"/>
              </w:rPr>
              <w:t>No.</w:t>
            </w:r>
          </w:p>
          <w:p w:rsidR="00123FF5" w:rsidRPr="008B720A" w:rsidRDefault="00761BDE" w:rsidP="00123FF5">
            <w:pPr>
              <w:rPr>
                <w:rFonts w:eastAsia="Verdana"/>
                <w:color w:val="auto"/>
                <w:sz w:val="16"/>
                <w:szCs w:val="16"/>
              </w:rPr>
            </w:pPr>
            <w:r w:rsidRPr="008B720A">
              <w:rPr>
                <w:rFonts w:eastAsia="Verdana"/>
                <w:color w:val="auto"/>
                <w:sz w:val="16"/>
                <w:szCs w:val="16"/>
              </w:rPr>
              <w:t xml:space="preserve">If a company takes part </w:t>
            </w:r>
            <w:r w:rsidR="00123FF5" w:rsidRPr="008B720A">
              <w:rPr>
                <w:rFonts w:eastAsia="Verdana"/>
                <w:color w:val="auto"/>
                <w:sz w:val="16"/>
                <w:szCs w:val="16"/>
              </w:rPr>
              <w:t>to a domestic tax consolidation regime</w:t>
            </w:r>
            <w:r w:rsidR="00815D3D" w:rsidRPr="008B720A">
              <w:rPr>
                <w:rFonts w:eastAsia="Verdana"/>
                <w:color w:val="auto"/>
                <w:sz w:val="16"/>
                <w:szCs w:val="16"/>
              </w:rPr>
              <w:t>,</w:t>
            </w:r>
            <w:r w:rsidR="00123FF5" w:rsidRPr="008B720A">
              <w:rPr>
                <w:rFonts w:eastAsia="Verdana"/>
                <w:color w:val="auto"/>
                <w:sz w:val="16"/>
                <w:szCs w:val="16"/>
              </w:rPr>
              <w:t xml:space="preserve"> any excess interest expenses (accrued after the inclusion in the </w:t>
            </w:r>
            <w:r w:rsidR="00DE1F4F" w:rsidRPr="008B720A">
              <w:rPr>
                <w:rFonts w:eastAsia="Verdana"/>
                <w:color w:val="auto"/>
                <w:sz w:val="16"/>
                <w:szCs w:val="16"/>
              </w:rPr>
              <w:t xml:space="preserve">domestic tax </w:t>
            </w:r>
            <w:r w:rsidR="00123FF5" w:rsidRPr="008B720A">
              <w:rPr>
                <w:rFonts w:eastAsia="Verdana"/>
                <w:color w:val="auto"/>
                <w:sz w:val="16"/>
                <w:szCs w:val="16"/>
              </w:rPr>
              <w:t>group) over 30% of EBITDA (or any interest carried forward) generated after the inclusion in the</w:t>
            </w:r>
            <w:r w:rsidR="00DE1F4F" w:rsidRPr="008B720A">
              <w:rPr>
                <w:rFonts w:eastAsia="Verdana"/>
                <w:color w:val="auto"/>
                <w:sz w:val="16"/>
                <w:szCs w:val="16"/>
              </w:rPr>
              <w:t xml:space="preserve"> domestic </w:t>
            </w:r>
            <w:r w:rsidR="00123FF5" w:rsidRPr="008B720A">
              <w:rPr>
                <w:rFonts w:eastAsia="Verdana"/>
                <w:color w:val="auto"/>
                <w:sz w:val="16"/>
                <w:szCs w:val="16"/>
              </w:rPr>
              <w:t xml:space="preserve">tax </w:t>
            </w:r>
            <w:r w:rsidR="00DE1F4F" w:rsidRPr="008B720A">
              <w:rPr>
                <w:rFonts w:eastAsia="Verdana"/>
                <w:color w:val="auto"/>
                <w:sz w:val="16"/>
                <w:szCs w:val="16"/>
              </w:rPr>
              <w:t>group</w:t>
            </w:r>
            <w:r w:rsidRPr="008B720A">
              <w:rPr>
                <w:rFonts w:eastAsia="Verdana"/>
                <w:color w:val="auto"/>
                <w:sz w:val="16"/>
                <w:szCs w:val="16"/>
              </w:rPr>
              <w:t>,</w:t>
            </w:r>
            <w:r w:rsidR="00123FF5" w:rsidRPr="008B720A">
              <w:rPr>
                <w:rFonts w:eastAsia="Verdana"/>
                <w:color w:val="auto"/>
                <w:sz w:val="16"/>
                <w:szCs w:val="16"/>
              </w:rPr>
              <w:t xml:space="preserve"> may be used to offset the taxable income of another company within the tax consolidation up to the amount of (30% of) such company’s EBITDA that has not been used to deduct its own interest expenses.</w:t>
            </w:r>
          </w:p>
          <w:p w:rsidR="00123FF5" w:rsidRPr="008B720A" w:rsidRDefault="00123FF5" w:rsidP="00123FF5">
            <w:pPr>
              <w:rPr>
                <w:rFonts w:eastAsia="Verdana"/>
                <w:color w:val="auto"/>
                <w:sz w:val="16"/>
                <w:szCs w:val="16"/>
              </w:rPr>
            </w:pPr>
          </w:p>
          <w:p w:rsidR="00123FF5" w:rsidRPr="008B720A" w:rsidRDefault="00123FF5" w:rsidP="00123FF5">
            <w:pPr>
              <w:rPr>
                <w:rFonts w:eastAsia="Verdana"/>
                <w:color w:val="auto"/>
                <w:sz w:val="16"/>
                <w:szCs w:val="16"/>
              </w:rPr>
            </w:pPr>
            <w:r w:rsidRPr="008B720A">
              <w:rPr>
                <w:rFonts w:eastAsia="Verdana"/>
                <w:color w:val="auto"/>
                <w:sz w:val="16"/>
                <w:szCs w:val="16"/>
              </w:rPr>
              <w:t xml:space="preserve">Further for the purpose of computing the deductible amount of net interest expenses (30% of the EBITDA) the EBITDA of </w:t>
            </w:r>
            <w:r w:rsidR="00CB138E" w:rsidRPr="008B720A">
              <w:rPr>
                <w:rFonts w:eastAsia="Verdana"/>
                <w:color w:val="auto"/>
                <w:sz w:val="16"/>
                <w:szCs w:val="16"/>
              </w:rPr>
              <w:t xml:space="preserve">each </w:t>
            </w:r>
            <w:r w:rsidRPr="008B720A">
              <w:rPr>
                <w:rFonts w:eastAsia="Verdana"/>
                <w:color w:val="auto"/>
                <w:sz w:val="16"/>
                <w:szCs w:val="16"/>
              </w:rPr>
              <w:t>non-resident compan</w:t>
            </w:r>
            <w:r w:rsidR="00CB138E" w:rsidRPr="008B720A">
              <w:rPr>
                <w:rFonts w:eastAsia="Verdana"/>
                <w:color w:val="auto"/>
                <w:sz w:val="16"/>
                <w:szCs w:val="16"/>
              </w:rPr>
              <w:t>y</w:t>
            </w:r>
            <w:r w:rsidRPr="008B720A">
              <w:rPr>
                <w:rFonts w:eastAsia="Verdana"/>
                <w:color w:val="auto"/>
                <w:sz w:val="16"/>
                <w:szCs w:val="16"/>
              </w:rPr>
              <w:t xml:space="preserve"> may be</w:t>
            </w:r>
            <w:r w:rsidR="00CB138E" w:rsidRPr="008B720A">
              <w:rPr>
                <w:rFonts w:eastAsia="Verdana"/>
                <w:color w:val="auto"/>
                <w:sz w:val="16"/>
                <w:szCs w:val="16"/>
              </w:rPr>
              <w:t xml:space="preserve"> optionally </w:t>
            </w:r>
            <w:r w:rsidRPr="008B720A">
              <w:rPr>
                <w:rFonts w:eastAsia="Verdana"/>
                <w:color w:val="auto"/>
                <w:sz w:val="16"/>
                <w:szCs w:val="16"/>
              </w:rPr>
              <w:t xml:space="preserve"> taken into account, to the extent it exceeds the interest expenses borne by the same compan</w:t>
            </w:r>
            <w:r w:rsidR="00CB138E" w:rsidRPr="008B720A">
              <w:rPr>
                <w:rFonts w:eastAsia="Verdana"/>
                <w:color w:val="auto"/>
                <w:sz w:val="16"/>
                <w:szCs w:val="16"/>
              </w:rPr>
              <w:t>y</w:t>
            </w:r>
            <w:r w:rsidRPr="008B720A">
              <w:rPr>
                <w:rFonts w:eastAsia="Verdana"/>
                <w:color w:val="auto"/>
                <w:sz w:val="16"/>
                <w:szCs w:val="16"/>
              </w:rPr>
              <w:t>, provided that:</w:t>
            </w:r>
          </w:p>
          <w:p w:rsidR="00123FF5" w:rsidRPr="008B720A" w:rsidRDefault="00123FF5" w:rsidP="00BA6A51">
            <w:pPr>
              <w:numPr>
                <w:ilvl w:val="0"/>
                <w:numId w:val="32"/>
              </w:numPr>
              <w:rPr>
                <w:rFonts w:eastAsia="Verdana"/>
                <w:color w:val="auto"/>
                <w:sz w:val="16"/>
                <w:szCs w:val="16"/>
              </w:rPr>
            </w:pPr>
            <w:r w:rsidRPr="008B720A">
              <w:rPr>
                <w:rFonts w:eastAsia="Verdana"/>
                <w:color w:val="auto"/>
                <w:sz w:val="16"/>
                <w:szCs w:val="16"/>
              </w:rPr>
              <w:t>the Italian consolidating company owns directly or indirectly more than 50% of the stated capital, voting rights and profit participation rights of the non-resident company starting from the beginning of the relevant tax period;</w:t>
            </w:r>
          </w:p>
          <w:p w:rsidR="00123FF5" w:rsidRPr="008B720A" w:rsidRDefault="00123FF5" w:rsidP="00BA6A51">
            <w:pPr>
              <w:numPr>
                <w:ilvl w:val="0"/>
                <w:numId w:val="32"/>
              </w:numPr>
              <w:rPr>
                <w:rFonts w:eastAsia="Verdana"/>
                <w:color w:val="auto"/>
                <w:sz w:val="16"/>
                <w:szCs w:val="16"/>
              </w:rPr>
            </w:pPr>
            <w:r w:rsidRPr="008B720A">
              <w:rPr>
                <w:rFonts w:eastAsia="Verdana"/>
                <w:color w:val="auto"/>
                <w:sz w:val="16"/>
                <w:szCs w:val="16"/>
              </w:rPr>
              <w:t>the tax period of the non-resident company coincides with that of the Italian consolidating company; and</w:t>
            </w:r>
          </w:p>
          <w:p w:rsidR="009E71C6" w:rsidRPr="008B720A" w:rsidRDefault="00123FF5" w:rsidP="00BA6A51">
            <w:pPr>
              <w:numPr>
                <w:ilvl w:val="0"/>
                <w:numId w:val="32"/>
              </w:numPr>
              <w:rPr>
                <w:rFonts w:eastAsia="Verdana"/>
                <w:color w:val="auto"/>
                <w:sz w:val="16"/>
                <w:szCs w:val="16"/>
              </w:rPr>
            </w:pPr>
            <w:proofErr w:type="gramStart"/>
            <w:r w:rsidRPr="008B720A">
              <w:rPr>
                <w:rFonts w:eastAsia="Verdana"/>
                <w:color w:val="auto"/>
                <w:sz w:val="16"/>
                <w:szCs w:val="16"/>
              </w:rPr>
              <w:t>the</w:t>
            </w:r>
            <w:proofErr w:type="gramEnd"/>
            <w:r w:rsidRPr="008B720A">
              <w:rPr>
                <w:rFonts w:eastAsia="Verdana"/>
                <w:color w:val="auto"/>
                <w:sz w:val="16"/>
                <w:szCs w:val="16"/>
              </w:rPr>
              <w:t xml:space="preserve"> financial statements of the non-resident company are audited.</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numPr>
                <w:ilvl w:val="0"/>
                <w:numId w:val="26"/>
              </w:numPr>
              <w:ind w:left="709"/>
              <w:jc w:val="left"/>
              <w:rPr>
                <w:rFonts w:eastAsia="Verdana"/>
                <w:b/>
                <w:bCs/>
                <w:color w:val="auto"/>
                <w:sz w:val="16"/>
                <w:szCs w:val="16"/>
              </w:rPr>
            </w:pPr>
            <w:r w:rsidRPr="008B720A">
              <w:rPr>
                <w:rFonts w:eastAsia="Verdana"/>
                <w:bCs/>
                <w:color w:val="auto"/>
                <w:sz w:val="16"/>
                <w:szCs w:val="16"/>
              </w:rPr>
              <w:t xml:space="preserve">In general, how effective do you consider these rules in countering ATP? When responding, please consider Model ATP-Structures 1 – 4 and assume that C Holdco, B Hybrid and </w:t>
            </w:r>
            <w:proofErr w:type="spellStart"/>
            <w:r w:rsidRPr="008B720A">
              <w:rPr>
                <w:rFonts w:eastAsia="Verdana"/>
                <w:bCs/>
                <w:color w:val="auto"/>
                <w:sz w:val="16"/>
                <w:szCs w:val="16"/>
              </w:rPr>
              <w:t>OpCo</w:t>
            </w:r>
            <w:proofErr w:type="spellEnd"/>
            <w:r w:rsidRPr="008B720A">
              <w:rPr>
                <w:rFonts w:eastAsia="Verdana"/>
                <w:bCs/>
                <w:color w:val="auto"/>
                <w:sz w:val="16"/>
                <w:szCs w:val="16"/>
              </w:rPr>
              <w:t xml:space="preserve"> are tax resident in your MS.</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791329" w:rsidP="00DE1F4F">
            <w:pPr>
              <w:rPr>
                <w:rFonts w:eastAsia="Verdana"/>
                <w:color w:val="auto"/>
                <w:sz w:val="16"/>
                <w:szCs w:val="16"/>
              </w:rPr>
            </w:pPr>
            <w:r w:rsidRPr="008B720A">
              <w:rPr>
                <w:rFonts w:eastAsia="Verdana"/>
                <w:color w:val="auto"/>
                <w:sz w:val="16"/>
                <w:szCs w:val="16"/>
              </w:rPr>
              <w:t xml:space="preserve">Italian rules allow </w:t>
            </w:r>
            <w:proofErr w:type="gramStart"/>
            <w:r w:rsidRPr="008B720A">
              <w:rPr>
                <w:rFonts w:eastAsia="Verdana"/>
                <w:color w:val="auto"/>
                <w:sz w:val="16"/>
                <w:szCs w:val="16"/>
              </w:rPr>
              <w:t>to prevent</w:t>
            </w:r>
            <w:proofErr w:type="gramEnd"/>
            <w:r w:rsidRPr="008B720A">
              <w:rPr>
                <w:rFonts w:eastAsia="Verdana"/>
                <w:color w:val="auto"/>
                <w:sz w:val="16"/>
                <w:szCs w:val="16"/>
              </w:rPr>
              <w:t xml:space="preserve"> the basic ATP structures. They are not wholly effective in respect to more complex and evolved </w:t>
            </w:r>
            <w:r w:rsidR="00DE1F4F" w:rsidRPr="008B720A">
              <w:rPr>
                <w:rFonts w:eastAsia="Verdana"/>
                <w:color w:val="auto"/>
                <w:sz w:val="16"/>
                <w:szCs w:val="16"/>
              </w:rPr>
              <w:t>structures</w:t>
            </w:r>
            <w:r w:rsidRPr="008B720A">
              <w:rPr>
                <w:rFonts w:eastAsia="Verdana"/>
                <w:color w:val="auto"/>
                <w:sz w:val="16"/>
                <w:szCs w:val="16"/>
              </w:rPr>
              <w:t>.</w:t>
            </w:r>
          </w:p>
        </w:tc>
      </w:tr>
      <w:tr w:rsidR="009E71C6" w:rsidRPr="008B720A" w:rsidTr="00BA6A51">
        <w:tc>
          <w:tcPr>
            <w:tcW w:w="5070" w:type="dxa"/>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9259EE" w:rsidRPr="008B720A">
              <w:rPr>
                <w:rFonts w:eastAsia="Verdana"/>
                <w:bCs/>
                <w:color w:val="auto"/>
                <w:sz w:val="16"/>
                <w:szCs w:val="16"/>
              </w:rPr>
              <w:t xml:space="preserve">o. 4 and assume that </w:t>
            </w:r>
            <w:proofErr w:type="spellStart"/>
            <w:r w:rsidR="009259EE" w:rsidRPr="008B720A">
              <w:rPr>
                <w:rFonts w:eastAsia="Verdana"/>
                <w:bCs/>
                <w:color w:val="auto"/>
                <w:sz w:val="16"/>
                <w:szCs w:val="16"/>
              </w:rPr>
              <w:t>FinanceCo</w:t>
            </w:r>
            <w:proofErr w:type="spellEnd"/>
            <w:r w:rsidR="009259EE" w:rsidRPr="008B720A">
              <w:rPr>
                <w:rFonts w:eastAsia="Verdana"/>
                <w:bCs/>
                <w:color w:val="auto"/>
                <w:sz w:val="16"/>
                <w:szCs w:val="16"/>
              </w:rPr>
              <w:t xml:space="preserve"> D</w:t>
            </w:r>
            <w:r w:rsidRPr="008B720A">
              <w:rPr>
                <w:rFonts w:eastAsia="Verdana"/>
                <w:bCs/>
                <w:color w:val="auto"/>
                <w:sz w:val="16"/>
                <w:szCs w:val="16"/>
              </w:rPr>
              <w:t xml:space="preserve"> is tax resident in your MS.</w:t>
            </w:r>
            <w:r w:rsidR="00715402" w:rsidRPr="008B720A">
              <w:rPr>
                <w:rFonts w:eastAsia="Verdana"/>
                <w:bCs/>
                <w:color w:val="auto"/>
                <w:sz w:val="16"/>
                <w:szCs w:val="16"/>
              </w:rPr>
              <w:t xml:space="preserve"> Moreover, please explain whether any deemed deduction would be contingent on a corresponding adjustment in the foreign state.</w:t>
            </w:r>
          </w:p>
        </w:tc>
        <w:tc>
          <w:tcPr>
            <w:tcW w:w="3933" w:type="dxa"/>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Where an item of income is paid in respect of a transaction engaged with a non-resident group member company, the transfer pricing applies. The rule states, obviously, that related parties’ transactions shall be assessed on an arm’s length basis (“normal value”).</w:t>
            </w:r>
          </w:p>
          <w:p w:rsidR="00805208" w:rsidRPr="008B720A" w:rsidRDefault="00805208" w:rsidP="00805208">
            <w:pPr>
              <w:rPr>
                <w:rFonts w:eastAsia="Verdana"/>
                <w:color w:val="auto"/>
                <w:sz w:val="16"/>
                <w:szCs w:val="16"/>
              </w:rPr>
            </w:pPr>
            <w:r w:rsidRPr="008B720A">
              <w:rPr>
                <w:rFonts w:eastAsia="Verdana"/>
                <w:color w:val="auto"/>
                <w:sz w:val="16"/>
                <w:szCs w:val="16"/>
              </w:rPr>
              <w:t xml:space="preserve">The provision allows to consider decreases of the taxable base only as a consequence of a mutual agreement between tax </w:t>
            </w:r>
            <w:r w:rsidRPr="008B720A">
              <w:rPr>
                <w:rFonts w:eastAsia="Verdana"/>
                <w:color w:val="auto"/>
                <w:sz w:val="16"/>
                <w:szCs w:val="16"/>
              </w:rPr>
              <w:lastRenderedPageBreak/>
              <w:t xml:space="preserve">administrations as regulated by the double tax conventions </w:t>
            </w:r>
          </w:p>
          <w:p w:rsidR="00805208" w:rsidRPr="008B720A" w:rsidRDefault="00805208" w:rsidP="00805208">
            <w:pPr>
              <w:rPr>
                <w:rFonts w:eastAsia="Verdana"/>
                <w:color w:val="auto"/>
                <w:sz w:val="16"/>
                <w:szCs w:val="16"/>
              </w:rPr>
            </w:pPr>
            <w:r w:rsidRPr="008B720A">
              <w:rPr>
                <w:rFonts w:eastAsia="Verdana"/>
                <w:color w:val="auto"/>
                <w:sz w:val="16"/>
                <w:szCs w:val="16"/>
              </w:rPr>
              <w:t xml:space="preserve">For companies drafting their statutory accounts under international accounting standards (IAS/IFRS) qualification, timing accrual and classification criteria set forth by such accounting standards are relevant also for corporate income tax purposes (art. 83, ITA). </w:t>
            </w:r>
          </w:p>
          <w:p w:rsidR="009E71C6" w:rsidRPr="008B720A" w:rsidRDefault="00805208" w:rsidP="00805208">
            <w:pPr>
              <w:rPr>
                <w:rFonts w:eastAsia="Verdana"/>
                <w:color w:val="auto"/>
                <w:sz w:val="16"/>
                <w:szCs w:val="16"/>
              </w:rPr>
            </w:pPr>
            <w:r w:rsidRPr="008B720A">
              <w:rPr>
                <w:rFonts w:eastAsia="Verdana"/>
                <w:color w:val="auto"/>
                <w:sz w:val="16"/>
                <w:szCs w:val="16"/>
              </w:rPr>
              <w:t>Therefore, to extent under IAS/IFRS the financial liability is measured at initial recognition at a fair value lower than its value at maturity, subsequent amortisation of such difference under the effective interest method is deductible for corporate income tax purpose as interest expense by the debtor company.</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lastRenderedPageBreak/>
              <w:t xml:space="preserve">Would the benefit of such a loan compared to a normal </w:t>
            </w:r>
            <w:r w:rsidR="00A30052" w:rsidRPr="008B720A">
              <w:rPr>
                <w:rFonts w:eastAsia="Verdana"/>
                <w:bCs/>
                <w:color w:val="auto"/>
                <w:sz w:val="16"/>
                <w:szCs w:val="16"/>
              </w:rPr>
              <w:t>interest-bearing</w:t>
            </w:r>
            <w:r w:rsidRPr="008B720A">
              <w:rPr>
                <w:rFonts w:eastAsia="Verdana"/>
                <w:bCs/>
                <w:color w:val="auto"/>
                <w:sz w:val="16"/>
                <w:szCs w:val="16"/>
              </w:rPr>
              <w:t xml:space="preserve"> loan on arm’s length conditions be taxable to the debtor company in your MS? If yes, how?</w:t>
            </w:r>
          </w:p>
        </w:tc>
        <w:tc>
          <w:tcPr>
            <w:tcW w:w="3933" w:type="dxa"/>
            <w:tcBorders>
              <w:top w:val="single" w:sz="8" w:space="0" w:color="A7D3F5"/>
              <w:bottom w:val="single" w:sz="8" w:space="0" w:color="A7D3F5"/>
              <w:right w:val="single" w:sz="8" w:space="0" w:color="A7D3F5"/>
            </w:tcBorders>
            <w:shd w:val="clear" w:color="auto" w:fill="auto"/>
          </w:tcPr>
          <w:p w:rsidR="002B429F" w:rsidRPr="008B720A" w:rsidRDefault="00805208" w:rsidP="009E71C6">
            <w:pPr>
              <w:rPr>
                <w:rFonts w:eastAsia="Verdana"/>
                <w:color w:val="auto"/>
                <w:sz w:val="16"/>
                <w:szCs w:val="16"/>
              </w:rPr>
            </w:pPr>
            <w:r w:rsidRPr="008B720A">
              <w:rPr>
                <w:rFonts w:eastAsia="Verdana"/>
                <w:color w:val="auto"/>
                <w:sz w:val="16"/>
                <w:szCs w:val="16"/>
              </w:rPr>
              <w:t>No. There is no specific Italian tax law provision (nor case law precedents we are aware of) whereby the benefit to a debtor company represented by an interest free or non-arm’s length interest bearing loan originates a taxable benefit for the borrower company.</w:t>
            </w:r>
          </w:p>
        </w:tc>
      </w:tr>
      <w:tr w:rsidR="009E71C6" w:rsidRPr="008B720A" w:rsidTr="00BA6A51">
        <w:tc>
          <w:tcPr>
            <w:tcW w:w="5070" w:type="dxa"/>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proofErr w:type="gramStart"/>
            <w:r w:rsidRPr="008B720A">
              <w:rPr>
                <w:rFonts w:eastAsia="Verdana"/>
                <w:bCs/>
                <w:color w:val="auto"/>
                <w:sz w:val="16"/>
                <w:szCs w:val="16"/>
              </w:rPr>
              <w:t>Does</w:t>
            </w:r>
            <w:proofErr w:type="gramEnd"/>
            <w:r w:rsidRPr="008B720A">
              <w:rPr>
                <w:rFonts w:eastAsia="Verdana"/>
                <w:bCs/>
                <w:color w:val="auto"/>
                <w:sz w:val="16"/>
                <w:szCs w:val="16"/>
              </w:rPr>
              <w:t xml:space="preserve"> your MS levy any withholding tax on interest payments?</w:t>
            </w:r>
          </w:p>
        </w:tc>
        <w:tc>
          <w:tcPr>
            <w:tcW w:w="3933" w:type="dxa"/>
            <w:shd w:val="clear" w:color="auto" w:fill="auto"/>
          </w:tcPr>
          <w:p w:rsidR="009E71C6" w:rsidRPr="008B720A" w:rsidRDefault="00123FF5" w:rsidP="009E71C6">
            <w:pPr>
              <w:rPr>
                <w:rFonts w:eastAsia="Verdana"/>
                <w:color w:val="auto"/>
                <w:sz w:val="16"/>
                <w:szCs w:val="16"/>
              </w:rPr>
            </w:pPr>
            <w:r w:rsidRPr="008B720A">
              <w:rPr>
                <w:rFonts w:eastAsia="Verdana"/>
                <w:color w:val="auto"/>
                <w:sz w:val="16"/>
                <w:szCs w:val="16"/>
              </w:rPr>
              <w:t>Yes.</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t>If yes to 1</w:t>
            </w:r>
            <w:r w:rsidR="003A6F57" w:rsidRPr="008B720A">
              <w:rPr>
                <w:rFonts w:eastAsia="Verdana"/>
                <w:bCs/>
                <w:color w:val="auto"/>
                <w:sz w:val="16"/>
                <w:szCs w:val="16"/>
              </w:rPr>
              <w:t>9</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9E71C6" w:rsidP="009E71C6">
            <w:pPr>
              <w:rPr>
                <w:rFonts w:eastAsia="Verdana"/>
                <w:color w:val="auto"/>
                <w:sz w:val="16"/>
                <w:szCs w:val="16"/>
              </w:rPr>
            </w:pPr>
          </w:p>
        </w:tc>
      </w:tr>
      <w:tr w:rsidR="009E71C6" w:rsidRPr="008B720A" w:rsidTr="00BA6A51">
        <w:tc>
          <w:tcPr>
            <w:tcW w:w="5070" w:type="dxa"/>
            <w:shd w:val="clear" w:color="auto" w:fill="auto"/>
          </w:tcPr>
          <w:p w:rsidR="009E71C6" w:rsidRPr="008B720A" w:rsidRDefault="009E71C6" w:rsidP="00BA6A51">
            <w:pPr>
              <w:pStyle w:val="ListNumber"/>
              <w:numPr>
                <w:ilvl w:val="0"/>
                <w:numId w:val="27"/>
              </w:numPr>
              <w:ind w:left="709"/>
              <w:jc w:val="left"/>
              <w:rPr>
                <w:rFonts w:eastAsia="Verdana"/>
                <w:b/>
                <w:bCs/>
                <w:color w:val="auto"/>
                <w:sz w:val="16"/>
                <w:szCs w:val="16"/>
              </w:rPr>
            </w:pPr>
            <w:r w:rsidRPr="008B720A">
              <w:rPr>
                <w:rFonts w:eastAsia="Verdana"/>
                <w:bCs/>
                <w:color w:val="auto"/>
                <w:sz w:val="16"/>
                <w:szCs w:val="16"/>
              </w:rPr>
              <w:t>What is the rate of withholding tax (ignoring tax treaties)?</w:t>
            </w:r>
          </w:p>
        </w:tc>
        <w:tc>
          <w:tcPr>
            <w:tcW w:w="3933" w:type="dxa"/>
            <w:shd w:val="clear" w:color="auto" w:fill="auto"/>
          </w:tcPr>
          <w:p w:rsidR="009E71C6" w:rsidRPr="008B720A" w:rsidRDefault="00123FF5" w:rsidP="009E71C6">
            <w:pPr>
              <w:rPr>
                <w:rFonts w:eastAsia="Verdana"/>
                <w:color w:val="auto"/>
                <w:sz w:val="16"/>
                <w:szCs w:val="16"/>
              </w:rPr>
            </w:pPr>
            <w:r w:rsidRPr="008B720A">
              <w:rPr>
                <w:rFonts w:eastAsia="Verdana"/>
                <w:color w:val="auto"/>
                <w:sz w:val="16"/>
                <w:szCs w:val="16"/>
              </w:rPr>
              <w:t>26%.</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numPr>
                <w:ilvl w:val="0"/>
                <w:numId w:val="27"/>
              </w:numPr>
              <w:ind w:left="709"/>
              <w:jc w:val="left"/>
              <w:rPr>
                <w:rFonts w:eastAsia="Verdana"/>
                <w:b/>
                <w:bCs/>
                <w:color w:val="auto"/>
                <w:sz w:val="16"/>
                <w:szCs w:val="16"/>
              </w:rPr>
            </w:pPr>
            <w:r w:rsidRPr="008B720A">
              <w:rPr>
                <w:rFonts w:eastAsia="Verdana"/>
                <w:bCs/>
                <w:color w:val="auto"/>
                <w:sz w:val="16"/>
                <w:szCs w:val="16"/>
              </w:rPr>
              <w:t xml:space="preserve">Are there special withholding tax rules for interest paid on a loan from a group member company? </w:t>
            </w:r>
          </w:p>
        </w:tc>
        <w:tc>
          <w:tcPr>
            <w:tcW w:w="3933" w:type="dxa"/>
            <w:tcBorders>
              <w:top w:val="single" w:sz="8" w:space="0" w:color="A7D3F5"/>
              <w:bottom w:val="single" w:sz="8" w:space="0" w:color="A7D3F5"/>
              <w:right w:val="single" w:sz="8" w:space="0" w:color="A7D3F5"/>
            </w:tcBorders>
            <w:shd w:val="clear" w:color="auto" w:fill="auto"/>
          </w:tcPr>
          <w:p w:rsidR="001530FE" w:rsidRPr="008B720A" w:rsidRDefault="001530FE" w:rsidP="001530FE">
            <w:pPr>
              <w:rPr>
                <w:rFonts w:eastAsia="Verdana"/>
                <w:color w:val="auto"/>
                <w:sz w:val="16"/>
                <w:szCs w:val="16"/>
              </w:rPr>
            </w:pPr>
            <w:r w:rsidRPr="008B720A">
              <w:rPr>
                <w:rFonts w:eastAsia="Verdana"/>
                <w:color w:val="auto"/>
                <w:sz w:val="16"/>
                <w:szCs w:val="16"/>
              </w:rPr>
              <w:t>Article 26</w:t>
            </w:r>
            <w:r w:rsidRPr="008B720A">
              <w:rPr>
                <w:rFonts w:eastAsia="Verdana"/>
                <w:i/>
                <w:color w:val="auto"/>
                <w:sz w:val="16"/>
                <w:szCs w:val="16"/>
              </w:rPr>
              <w:t xml:space="preserve">-quater </w:t>
            </w:r>
            <w:r w:rsidRPr="008B720A">
              <w:rPr>
                <w:rFonts w:eastAsia="Verdana"/>
                <w:color w:val="auto"/>
                <w:sz w:val="16"/>
                <w:szCs w:val="16"/>
              </w:rPr>
              <w:t>of the Presidential Decree n. 600 of 1973 exempts interest income paid to companies of another MS, as qualified by the Interest and Royalties Directive.</w:t>
            </w:r>
          </w:p>
          <w:p w:rsidR="009E71C6" w:rsidRPr="008B720A" w:rsidRDefault="001530FE" w:rsidP="001530FE">
            <w:pPr>
              <w:rPr>
                <w:rFonts w:eastAsia="Verdana"/>
                <w:color w:val="auto"/>
                <w:sz w:val="16"/>
                <w:szCs w:val="16"/>
              </w:rPr>
            </w:pPr>
            <w:r w:rsidRPr="008B720A">
              <w:rPr>
                <w:rFonts w:eastAsia="Verdana"/>
                <w:color w:val="auto"/>
                <w:sz w:val="16"/>
                <w:szCs w:val="16"/>
              </w:rPr>
              <w:t>The other requirements are stated in Article 26-</w:t>
            </w:r>
            <w:proofErr w:type="gramStart"/>
            <w:r w:rsidRPr="008B720A">
              <w:rPr>
                <w:rFonts w:eastAsia="Verdana"/>
                <w:i/>
                <w:color w:val="auto"/>
                <w:sz w:val="16"/>
                <w:szCs w:val="16"/>
              </w:rPr>
              <w:t>quater</w:t>
            </w:r>
            <w:r w:rsidRPr="008B720A">
              <w:rPr>
                <w:rFonts w:eastAsia="Verdana"/>
                <w:color w:val="auto"/>
                <w:sz w:val="16"/>
                <w:szCs w:val="16"/>
              </w:rPr>
              <w:t>(</w:t>
            </w:r>
            <w:proofErr w:type="gramEnd"/>
            <w:r w:rsidRPr="008B720A">
              <w:rPr>
                <w:rFonts w:eastAsia="Verdana"/>
                <w:color w:val="auto"/>
                <w:sz w:val="16"/>
                <w:szCs w:val="16"/>
              </w:rPr>
              <w:t>2) of the same Decree and concern the minimum holding period (1 year) and the minimum holding (25%).</w:t>
            </w:r>
          </w:p>
          <w:p w:rsidR="00AA0DF1" w:rsidRPr="008B720A" w:rsidRDefault="00AA0DF1" w:rsidP="001530FE">
            <w:pPr>
              <w:rPr>
                <w:rFonts w:eastAsia="Verdana"/>
                <w:color w:val="auto"/>
                <w:sz w:val="16"/>
                <w:szCs w:val="16"/>
              </w:rPr>
            </w:pPr>
          </w:p>
          <w:p w:rsidR="00F30FE4" w:rsidRPr="008B720A" w:rsidRDefault="00AA0DF1" w:rsidP="003163C9">
            <w:pPr>
              <w:rPr>
                <w:rFonts w:eastAsia="Verdana"/>
                <w:color w:val="auto"/>
                <w:sz w:val="16"/>
                <w:szCs w:val="16"/>
              </w:rPr>
            </w:pPr>
            <w:r w:rsidRPr="008B720A">
              <w:rPr>
                <w:rFonts w:eastAsia="Verdana"/>
                <w:color w:val="auto"/>
                <w:sz w:val="16"/>
                <w:szCs w:val="16"/>
              </w:rPr>
              <w:t xml:space="preserve">If </w:t>
            </w:r>
            <w:r w:rsidR="003163C9" w:rsidRPr="008B720A">
              <w:rPr>
                <w:rFonts w:eastAsia="Verdana"/>
                <w:color w:val="auto"/>
                <w:sz w:val="16"/>
                <w:szCs w:val="16"/>
              </w:rPr>
              <w:t xml:space="preserve">only </w:t>
            </w:r>
            <w:r w:rsidRPr="008B720A">
              <w:rPr>
                <w:rFonts w:eastAsia="Verdana"/>
                <w:color w:val="auto"/>
                <w:sz w:val="16"/>
                <w:szCs w:val="16"/>
              </w:rPr>
              <w:t xml:space="preserve">the beneficial ownership requirement is not met, a reduced 5% withholding tax is applicable to the payments of interest income to </w:t>
            </w:r>
            <w:proofErr w:type="spellStart"/>
            <w:r w:rsidRPr="008B720A">
              <w:rPr>
                <w:rFonts w:eastAsia="Verdana"/>
                <w:color w:val="auto"/>
                <w:sz w:val="16"/>
                <w:szCs w:val="16"/>
              </w:rPr>
              <w:t>non resident</w:t>
            </w:r>
            <w:proofErr w:type="spellEnd"/>
            <w:r w:rsidRPr="008B720A">
              <w:rPr>
                <w:rFonts w:eastAsia="Verdana"/>
                <w:color w:val="auto"/>
                <w:sz w:val="16"/>
                <w:szCs w:val="16"/>
              </w:rPr>
              <w:t xml:space="preserve"> </w:t>
            </w:r>
            <w:r w:rsidR="003163C9" w:rsidRPr="008B720A">
              <w:rPr>
                <w:rFonts w:eastAsia="Verdana"/>
                <w:color w:val="auto"/>
                <w:sz w:val="16"/>
                <w:szCs w:val="16"/>
              </w:rPr>
              <w:t>companies</w:t>
            </w:r>
            <w:r w:rsidRPr="008B720A">
              <w:rPr>
                <w:rFonts w:eastAsia="Verdana"/>
                <w:color w:val="auto"/>
                <w:sz w:val="16"/>
                <w:szCs w:val="16"/>
              </w:rPr>
              <w:t xml:space="preserve">, only if those </w:t>
            </w:r>
            <w:r w:rsidR="003163C9" w:rsidRPr="008B720A">
              <w:rPr>
                <w:rFonts w:eastAsia="Verdana"/>
                <w:color w:val="auto"/>
                <w:sz w:val="16"/>
                <w:szCs w:val="16"/>
              </w:rPr>
              <w:t xml:space="preserve">payment </w:t>
            </w:r>
            <w:r w:rsidRPr="008B720A">
              <w:rPr>
                <w:rFonts w:eastAsia="Verdana"/>
                <w:color w:val="auto"/>
                <w:sz w:val="16"/>
                <w:szCs w:val="16"/>
              </w:rPr>
              <w:t xml:space="preserve">is </w:t>
            </w:r>
            <w:r w:rsidR="00005DF0" w:rsidRPr="008B720A">
              <w:rPr>
                <w:rFonts w:eastAsia="Verdana"/>
                <w:color w:val="auto"/>
                <w:sz w:val="16"/>
                <w:szCs w:val="16"/>
              </w:rPr>
              <w:t>aimed</w:t>
            </w:r>
            <w:r w:rsidRPr="008B720A">
              <w:rPr>
                <w:rFonts w:eastAsia="Verdana"/>
                <w:color w:val="auto"/>
                <w:sz w:val="16"/>
                <w:szCs w:val="16"/>
              </w:rPr>
              <w:t xml:space="preserve"> </w:t>
            </w:r>
            <w:r w:rsidR="00005DF0" w:rsidRPr="008B720A">
              <w:rPr>
                <w:rFonts w:eastAsia="Verdana"/>
                <w:color w:val="auto"/>
                <w:sz w:val="16"/>
                <w:szCs w:val="16"/>
              </w:rPr>
              <w:t>at</w:t>
            </w:r>
            <w:r w:rsidRPr="008B720A">
              <w:rPr>
                <w:rFonts w:eastAsia="Verdana"/>
                <w:color w:val="auto"/>
                <w:sz w:val="16"/>
                <w:szCs w:val="16"/>
              </w:rPr>
              <w:t xml:space="preserve"> </w:t>
            </w:r>
            <w:r w:rsidR="003163C9" w:rsidRPr="008B720A">
              <w:rPr>
                <w:rFonts w:eastAsia="Verdana"/>
                <w:color w:val="auto"/>
                <w:sz w:val="16"/>
                <w:szCs w:val="16"/>
              </w:rPr>
              <w:t xml:space="preserve">funding </w:t>
            </w:r>
            <w:r w:rsidRPr="008B720A">
              <w:rPr>
                <w:rFonts w:eastAsia="Verdana"/>
                <w:color w:val="auto"/>
                <w:sz w:val="16"/>
                <w:szCs w:val="16"/>
              </w:rPr>
              <w:t xml:space="preserve">the payment of interest </w:t>
            </w:r>
            <w:r w:rsidR="003163C9" w:rsidRPr="008B720A">
              <w:rPr>
                <w:rFonts w:eastAsia="Verdana"/>
                <w:color w:val="auto"/>
                <w:sz w:val="16"/>
                <w:szCs w:val="16"/>
              </w:rPr>
              <w:t>on bonds</w:t>
            </w:r>
            <w:r w:rsidR="00F30FE4" w:rsidRPr="008B720A">
              <w:rPr>
                <w:rFonts w:eastAsia="Verdana"/>
                <w:color w:val="auto"/>
                <w:sz w:val="16"/>
                <w:szCs w:val="16"/>
              </w:rPr>
              <w:t xml:space="preserve"> </w:t>
            </w:r>
            <w:r w:rsidR="00026A9E" w:rsidRPr="008B720A">
              <w:rPr>
                <w:rFonts w:eastAsia="Verdana"/>
                <w:color w:val="auto"/>
                <w:sz w:val="16"/>
                <w:szCs w:val="16"/>
              </w:rPr>
              <w:t xml:space="preserve">issued by the recipient company </w:t>
            </w:r>
            <w:r w:rsidR="003163C9" w:rsidRPr="008B720A">
              <w:rPr>
                <w:rFonts w:eastAsia="Verdana"/>
                <w:color w:val="auto"/>
                <w:sz w:val="16"/>
                <w:szCs w:val="16"/>
              </w:rPr>
              <w:t xml:space="preserve">that are </w:t>
            </w:r>
            <w:r w:rsidR="00F30FE4" w:rsidRPr="008B720A">
              <w:rPr>
                <w:rFonts w:eastAsia="Verdana"/>
                <w:color w:val="auto"/>
                <w:sz w:val="16"/>
                <w:szCs w:val="16"/>
              </w:rPr>
              <w:t>traded in EU or EE</w:t>
            </w:r>
            <w:r w:rsidR="00005DF0" w:rsidRPr="008B720A">
              <w:rPr>
                <w:rFonts w:eastAsia="Verdana"/>
                <w:color w:val="auto"/>
                <w:sz w:val="16"/>
                <w:szCs w:val="16"/>
              </w:rPr>
              <w:t xml:space="preserve">A stock exchanges </w:t>
            </w:r>
            <w:r w:rsidR="003163C9" w:rsidRPr="008B720A">
              <w:rPr>
                <w:rFonts w:eastAsia="Verdana"/>
                <w:color w:val="auto"/>
                <w:sz w:val="16"/>
                <w:szCs w:val="16"/>
              </w:rPr>
              <w:t xml:space="preserve">and secured </w:t>
            </w:r>
            <w:r w:rsidR="00005DF0" w:rsidRPr="008B720A">
              <w:rPr>
                <w:rFonts w:eastAsia="Verdana"/>
                <w:color w:val="auto"/>
                <w:sz w:val="16"/>
                <w:szCs w:val="16"/>
              </w:rPr>
              <w:t xml:space="preserve">by the </w:t>
            </w:r>
            <w:r w:rsidR="003163C9" w:rsidRPr="008B720A">
              <w:rPr>
                <w:rFonts w:eastAsia="Verdana"/>
                <w:color w:val="auto"/>
                <w:sz w:val="16"/>
                <w:szCs w:val="16"/>
              </w:rPr>
              <w:t>interest paying company (or by another company of the same group)</w:t>
            </w:r>
            <w:r w:rsidR="00005DF0" w:rsidRPr="008B720A">
              <w:rPr>
                <w:rFonts w:eastAsia="Verdana"/>
                <w:color w:val="auto"/>
                <w:sz w:val="16"/>
                <w:szCs w:val="16"/>
              </w:rPr>
              <w:t>.</w:t>
            </w:r>
            <w:r w:rsidR="003163C9" w:rsidRPr="008B720A">
              <w:rPr>
                <w:rFonts w:eastAsia="Verdana"/>
                <w:color w:val="auto"/>
                <w:sz w:val="16"/>
                <w:szCs w:val="16"/>
              </w:rPr>
              <w:t xml:space="preserve"> In such a case, an indirect 0.25% registration tax applies on the guarantee. </w:t>
            </w:r>
          </w:p>
        </w:tc>
      </w:tr>
      <w:tr w:rsidR="009E71C6" w:rsidRPr="008B720A" w:rsidTr="00BA6A51">
        <w:tc>
          <w:tcPr>
            <w:tcW w:w="5070" w:type="dxa"/>
            <w:shd w:val="clear" w:color="auto" w:fill="auto"/>
          </w:tcPr>
          <w:p w:rsidR="009E71C6" w:rsidRPr="008B720A" w:rsidRDefault="009E71C6" w:rsidP="00BA6A51">
            <w:pPr>
              <w:pStyle w:val="ListNumber"/>
              <w:numPr>
                <w:ilvl w:val="0"/>
                <w:numId w:val="27"/>
              </w:numPr>
              <w:ind w:left="709"/>
              <w:jc w:val="left"/>
              <w:rPr>
                <w:rFonts w:eastAsia="Verdana"/>
                <w:b/>
                <w:bCs/>
                <w:color w:val="auto"/>
                <w:sz w:val="16"/>
                <w:szCs w:val="16"/>
              </w:rPr>
            </w:pPr>
            <w:r w:rsidRPr="008B720A">
              <w:rPr>
                <w:rFonts w:eastAsia="Verdana"/>
                <w:bCs/>
                <w:color w:val="auto"/>
                <w:sz w:val="16"/>
                <w:szCs w:val="16"/>
              </w:rPr>
              <w:t xml:space="preserve">Does this apply regardless of the tax residence of the creditor company, e.g. member state, treaty state, tax haven? </w:t>
            </w:r>
          </w:p>
        </w:tc>
        <w:tc>
          <w:tcPr>
            <w:tcW w:w="3933" w:type="dxa"/>
            <w:shd w:val="clear" w:color="auto" w:fill="auto"/>
          </w:tcPr>
          <w:p w:rsidR="009E71C6" w:rsidRPr="008B720A" w:rsidRDefault="00653A40" w:rsidP="003163C9">
            <w:pPr>
              <w:rPr>
                <w:rFonts w:eastAsia="Verdana"/>
                <w:color w:val="auto"/>
                <w:sz w:val="16"/>
                <w:szCs w:val="16"/>
              </w:rPr>
            </w:pPr>
            <w:r w:rsidRPr="008B720A">
              <w:rPr>
                <w:rFonts w:eastAsia="Verdana"/>
                <w:color w:val="auto"/>
                <w:sz w:val="16"/>
                <w:szCs w:val="16"/>
              </w:rPr>
              <w:t xml:space="preserve">The exemption </w:t>
            </w:r>
            <w:r w:rsidR="00F30FE4" w:rsidRPr="008B720A">
              <w:rPr>
                <w:rFonts w:eastAsia="Verdana"/>
                <w:color w:val="auto"/>
                <w:sz w:val="16"/>
                <w:szCs w:val="16"/>
              </w:rPr>
              <w:t xml:space="preserve">and the reduced tax rate </w:t>
            </w:r>
            <w:r w:rsidRPr="008B720A">
              <w:rPr>
                <w:rFonts w:eastAsia="Verdana"/>
                <w:color w:val="auto"/>
                <w:sz w:val="16"/>
                <w:szCs w:val="16"/>
              </w:rPr>
              <w:t>appl</w:t>
            </w:r>
            <w:r w:rsidR="00F30FE4" w:rsidRPr="008B720A">
              <w:rPr>
                <w:rFonts w:eastAsia="Verdana"/>
                <w:color w:val="auto"/>
                <w:sz w:val="16"/>
                <w:szCs w:val="16"/>
              </w:rPr>
              <w:t>y</w:t>
            </w:r>
            <w:r w:rsidRPr="008B720A">
              <w:rPr>
                <w:rFonts w:eastAsia="Verdana"/>
                <w:color w:val="auto"/>
                <w:sz w:val="16"/>
                <w:szCs w:val="16"/>
              </w:rPr>
              <w:t xml:space="preserve"> exclusively if the recipient is resident in another MS</w:t>
            </w:r>
            <w:r w:rsidR="00F30FE4" w:rsidRPr="008B720A">
              <w:rPr>
                <w:rFonts w:eastAsia="Verdana"/>
                <w:color w:val="auto"/>
                <w:sz w:val="16"/>
                <w:szCs w:val="16"/>
              </w:rPr>
              <w:t xml:space="preserve"> (or EEA country). In the case of the Directive, the </w:t>
            </w:r>
            <w:proofErr w:type="spellStart"/>
            <w:r w:rsidR="00F30FE4" w:rsidRPr="008B720A">
              <w:rPr>
                <w:rFonts w:eastAsia="Verdana"/>
                <w:color w:val="auto"/>
                <w:sz w:val="16"/>
                <w:szCs w:val="16"/>
              </w:rPr>
              <w:t>non resident</w:t>
            </w:r>
            <w:proofErr w:type="spellEnd"/>
            <w:r w:rsidR="00F30FE4" w:rsidRPr="008B720A">
              <w:rPr>
                <w:rFonts w:eastAsia="Verdana"/>
                <w:color w:val="auto"/>
                <w:sz w:val="16"/>
                <w:szCs w:val="16"/>
              </w:rPr>
              <w:t xml:space="preserve"> company must not</w:t>
            </w:r>
            <w:r w:rsidR="00C42B97" w:rsidRPr="008B720A">
              <w:rPr>
                <w:rFonts w:eastAsia="Verdana"/>
                <w:color w:val="auto"/>
                <w:sz w:val="16"/>
                <w:szCs w:val="16"/>
              </w:rPr>
              <w:t xml:space="preserve"> </w:t>
            </w:r>
            <w:proofErr w:type="gramStart"/>
            <w:r w:rsidRPr="008B720A">
              <w:rPr>
                <w:rFonts w:eastAsia="Verdana"/>
                <w:color w:val="auto"/>
                <w:sz w:val="16"/>
                <w:szCs w:val="16"/>
              </w:rPr>
              <w:t>deemed</w:t>
            </w:r>
            <w:proofErr w:type="gramEnd"/>
            <w:r w:rsidRPr="008B720A">
              <w:rPr>
                <w:rFonts w:eastAsia="Verdana"/>
                <w:color w:val="auto"/>
                <w:sz w:val="16"/>
                <w:szCs w:val="16"/>
              </w:rPr>
              <w:t xml:space="preserve"> to be resident outside the EU.</w:t>
            </w:r>
          </w:p>
        </w:tc>
      </w:tr>
      <w:tr w:rsidR="009E71C6" w:rsidRPr="008B720A" w:rsidTr="00BA6A51">
        <w:tc>
          <w:tcPr>
            <w:tcW w:w="5070" w:type="dxa"/>
            <w:tcBorders>
              <w:top w:val="single" w:sz="8" w:space="0" w:color="A7D3F5"/>
              <w:left w:val="single" w:sz="8" w:space="0" w:color="A7D3F5"/>
              <w:bottom w:val="single" w:sz="8" w:space="0" w:color="A7D3F5"/>
            </w:tcBorders>
            <w:shd w:val="clear" w:color="auto" w:fill="auto"/>
          </w:tcPr>
          <w:p w:rsidR="009E71C6" w:rsidRPr="008B720A" w:rsidRDefault="009E71C6" w:rsidP="00BA6A51">
            <w:pPr>
              <w:pStyle w:val="ListNumber"/>
              <w:numPr>
                <w:ilvl w:val="0"/>
                <w:numId w:val="27"/>
              </w:numPr>
              <w:ind w:left="709"/>
              <w:jc w:val="left"/>
              <w:rPr>
                <w:rFonts w:eastAsia="Verdana"/>
                <w:b/>
                <w:bCs/>
                <w:color w:val="auto"/>
                <w:sz w:val="16"/>
                <w:szCs w:val="16"/>
              </w:rPr>
            </w:pPr>
            <w:r w:rsidRPr="008B720A">
              <w:rPr>
                <w:rFonts w:eastAsia="Verdana"/>
                <w:bCs/>
                <w:color w:val="auto"/>
                <w:sz w:val="16"/>
                <w:szCs w:val="16"/>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Borders>
              <w:top w:val="single" w:sz="8" w:space="0" w:color="A7D3F5"/>
              <w:bottom w:val="single" w:sz="8" w:space="0" w:color="A7D3F5"/>
              <w:right w:val="single" w:sz="8" w:space="0" w:color="A7D3F5"/>
            </w:tcBorders>
            <w:shd w:val="clear" w:color="auto" w:fill="auto"/>
          </w:tcPr>
          <w:p w:rsidR="009E71C6" w:rsidRPr="008B720A" w:rsidRDefault="00B14D2D" w:rsidP="00B833D6">
            <w:pPr>
              <w:rPr>
                <w:rFonts w:eastAsia="Verdana"/>
                <w:color w:val="auto"/>
                <w:sz w:val="16"/>
                <w:szCs w:val="16"/>
              </w:rPr>
            </w:pPr>
            <w:r w:rsidRPr="008B720A">
              <w:rPr>
                <w:rFonts w:eastAsia="Verdana"/>
                <w:color w:val="auto"/>
                <w:sz w:val="16"/>
                <w:szCs w:val="16"/>
              </w:rPr>
              <w:t xml:space="preserve">Yes. </w:t>
            </w:r>
            <w:r w:rsidR="00B833D6" w:rsidRPr="008B720A">
              <w:rPr>
                <w:rFonts w:eastAsia="Verdana"/>
                <w:color w:val="auto"/>
                <w:sz w:val="16"/>
                <w:szCs w:val="16"/>
              </w:rPr>
              <w:t>The beneficial owner concept is adopted by Article 26-</w:t>
            </w:r>
            <w:r w:rsidR="00B833D6" w:rsidRPr="008B720A">
              <w:rPr>
                <w:rFonts w:eastAsia="Verdana"/>
                <w:i/>
                <w:color w:val="auto"/>
                <w:sz w:val="16"/>
                <w:szCs w:val="16"/>
              </w:rPr>
              <w:t>quarter</w:t>
            </w:r>
            <w:r w:rsidR="00B833D6" w:rsidRPr="008B720A">
              <w:rPr>
                <w:rFonts w:eastAsia="Verdana"/>
                <w:color w:val="auto"/>
                <w:sz w:val="16"/>
                <w:szCs w:val="16"/>
              </w:rPr>
              <w:t>(4)(c) of the Presidential Decree n. 600 of 1973, which implements the Interest and Royalties Directive</w:t>
            </w:r>
            <w:r w:rsidRPr="008B720A">
              <w:rPr>
                <w:rFonts w:eastAsia="Verdana"/>
                <w:color w:val="auto"/>
                <w:sz w:val="16"/>
                <w:szCs w:val="16"/>
              </w:rPr>
              <w:t>,</w:t>
            </w:r>
            <w:r w:rsidR="00B833D6" w:rsidRPr="008B720A">
              <w:rPr>
                <w:rFonts w:eastAsia="Verdana"/>
                <w:color w:val="auto"/>
                <w:sz w:val="16"/>
                <w:szCs w:val="16"/>
              </w:rPr>
              <w:t xml:space="preserve"> and by (almost all) the double tax conventions stipulated by Italy.</w:t>
            </w:r>
          </w:p>
        </w:tc>
      </w:tr>
      <w:tr w:rsidR="00123FF5" w:rsidRPr="008B720A" w:rsidTr="00BA6A51">
        <w:tc>
          <w:tcPr>
            <w:tcW w:w="5070" w:type="dxa"/>
            <w:shd w:val="clear" w:color="auto" w:fill="auto"/>
          </w:tcPr>
          <w:p w:rsidR="00123FF5" w:rsidRPr="008B720A" w:rsidRDefault="00123FF5" w:rsidP="00BA6A51">
            <w:pPr>
              <w:pStyle w:val="ListNumber"/>
              <w:numPr>
                <w:ilvl w:val="0"/>
                <w:numId w:val="27"/>
              </w:numPr>
              <w:ind w:left="709"/>
              <w:jc w:val="left"/>
              <w:rPr>
                <w:rFonts w:eastAsia="Verdana"/>
                <w:b/>
                <w:bCs/>
                <w:color w:val="auto"/>
                <w:sz w:val="16"/>
                <w:szCs w:val="16"/>
              </w:rPr>
            </w:pPr>
            <w:r w:rsidRPr="008B720A">
              <w:rPr>
                <w:rFonts w:eastAsia="Verdana"/>
                <w:bCs/>
                <w:color w:val="auto"/>
                <w:sz w:val="16"/>
                <w:szCs w:val="16"/>
              </w:rPr>
              <w:t>Is such exemption, reduction or refund subject to other anti-avoidance requirements? If yes, please explain briefly.</w:t>
            </w:r>
          </w:p>
        </w:tc>
        <w:tc>
          <w:tcPr>
            <w:tcW w:w="3933" w:type="dxa"/>
            <w:shd w:val="clear" w:color="auto" w:fill="auto"/>
          </w:tcPr>
          <w:p w:rsidR="003163C9" w:rsidRPr="008B720A" w:rsidRDefault="003163C9" w:rsidP="00704107">
            <w:pPr>
              <w:rPr>
                <w:rFonts w:eastAsia="Verdana"/>
                <w:color w:val="auto"/>
                <w:sz w:val="16"/>
                <w:szCs w:val="16"/>
              </w:rPr>
            </w:pPr>
            <w:r w:rsidRPr="008B720A">
              <w:rPr>
                <w:rFonts w:eastAsia="Verdana"/>
                <w:color w:val="auto"/>
                <w:sz w:val="16"/>
                <w:szCs w:val="16"/>
              </w:rPr>
              <w:t xml:space="preserve">Ordinary domestic anti-avoidance rule on interest payments falling within the scope of the Interest and Royalties Directive if made to companies controlled directly or indirectly by one or more persons that are not resident in a State of the European Union. </w:t>
            </w:r>
          </w:p>
          <w:p w:rsidR="00123FF5" w:rsidRPr="008B720A" w:rsidRDefault="00123FF5" w:rsidP="00704107">
            <w:pPr>
              <w:rPr>
                <w:rFonts w:eastAsia="Verdana"/>
                <w:color w:val="auto"/>
                <w:sz w:val="16"/>
                <w:szCs w:val="16"/>
              </w:rPr>
            </w:pPr>
          </w:p>
        </w:tc>
      </w:tr>
      <w:tr w:rsidR="00123FF5" w:rsidRPr="008B720A" w:rsidTr="00BA6A51">
        <w:tc>
          <w:tcPr>
            <w:tcW w:w="9003" w:type="dxa"/>
            <w:gridSpan w:val="2"/>
            <w:tcBorders>
              <w:top w:val="single" w:sz="8" w:space="0" w:color="A7D3F5"/>
              <w:bottom w:val="single" w:sz="8" w:space="0" w:color="A7D3F5"/>
            </w:tcBorders>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Allowance for corporate equity</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i/>
                <w:color w:val="auto"/>
                <w:sz w:val="16"/>
                <w:szCs w:val="16"/>
              </w:rPr>
            </w:pPr>
            <w:proofErr w:type="gramStart"/>
            <w:r w:rsidRPr="008B720A">
              <w:rPr>
                <w:rFonts w:eastAsia="Verdana"/>
                <w:bCs/>
                <w:color w:val="auto"/>
                <w:sz w:val="16"/>
                <w:szCs w:val="16"/>
              </w:rPr>
              <w:t>Does</w:t>
            </w:r>
            <w:proofErr w:type="gramEnd"/>
            <w:r w:rsidRPr="008B720A">
              <w:rPr>
                <w:rFonts w:eastAsia="Verdana"/>
                <w:bCs/>
                <w:color w:val="auto"/>
                <w:sz w:val="16"/>
                <w:szCs w:val="16"/>
              </w:rPr>
              <w:t xml:space="preserve"> your MS offer any tax deduction for a notional </w:t>
            </w:r>
            <w:r w:rsidRPr="008B720A">
              <w:rPr>
                <w:rFonts w:eastAsia="Verdana"/>
                <w:bCs/>
                <w:color w:val="auto"/>
                <w:sz w:val="16"/>
                <w:szCs w:val="16"/>
              </w:rPr>
              <w:lastRenderedPageBreak/>
              <w:t>(fictitious) interest cost on the share capital of a company? If yes, please briefly explain and include any anti-avoidance provisions. In particular, can the deduction be claimed against financial income?</w:t>
            </w:r>
          </w:p>
        </w:tc>
        <w:tc>
          <w:tcPr>
            <w:tcW w:w="3933" w:type="dxa"/>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lastRenderedPageBreak/>
              <w:t xml:space="preserve">Yes. Italian resident companies and </w:t>
            </w:r>
            <w:r w:rsidRPr="008B720A">
              <w:rPr>
                <w:rFonts w:eastAsia="Verdana"/>
                <w:color w:val="auto"/>
                <w:sz w:val="16"/>
                <w:szCs w:val="16"/>
              </w:rPr>
              <w:lastRenderedPageBreak/>
              <w:t>permanent establishments of non-resident entities may benefit from an allowance for corporate equity (ACE). The ACE regime provides for the deduction of the notional interest on the net (qualifying) equity</w:t>
            </w:r>
            <w:r w:rsidR="003163C9" w:rsidRPr="008B720A">
              <w:rPr>
                <w:rFonts w:eastAsia="Verdana"/>
                <w:color w:val="auto"/>
                <w:sz w:val="16"/>
                <w:szCs w:val="16"/>
              </w:rPr>
              <w:t xml:space="preserve"> increases occurred as from the tax period ending on or after 31.12.2010</w:t>
            </w:r>
            <w:r w:rsidRPr="008B720A">
              <w:rPr>
                <w:rFonts w:eastAsia="Verdana"/>
                <w:color w:val="auto"/>
                <w:sz w:val="16"/>
                <w:szCs w:val="16"/>
              </w:rPr>
              <w:t xml:space="preserve">. </w:t>
            </w:r>
          </w:p>
          <w:p w:rsidR="00123FF5" w:rsidRPr="008B720A" w:rsidRDefault="00123FF5" w:rsidP="00123FF5">
            <w:pPr>
              <w:rPr>
                <w:rFonts w:eastAsia="Verdana"/>
                <w:color w:val="auto"/>
                <w:sz w:val="16"/>
                <w:szCs w:val="16"/>
              </w:rPr>
            </w:pPr>
          </w:p>
          <w:p w:rsidR="00123FF5" w:rsidRPr="008B720A" w:rsidRDefault="00123FF5" w:rsidP="00123FF5">
            <w:pPr>
              <w:rPr>
                <w:rFonts w:eastAsia="Verdana"/>
                <w:color w:val="auto"/>
                <w:sz w:val="16"/>
                <w:szCs w:val="16"/>
              </w:rPr>
            </w:pPr>
            <w:r w:rsidRPr="008B720A">
              <w:rPr>
                <w:rFonts w:eastAsia="Verdana"/>
                <w:color w:val="auto"/>
                <w:sz w:val="16"/>
                <w:szCs w:val="16"/>
              </w:rPr>
              <w:t>The Ministry of Finance determines the applicable ACE rate by 31 January of each year, taking into account government bonds’ average yields (2015:</w:t>
            </w:r>
            <w:r w:rsidR="00E9760E" w:rsidRPr="008B720A">
              <w:rPr>
                <w:rFonts w:eastAsia="Verdana"/>
                <w:color w:val="auto"/>
                <w:sz w:val="16"/>
                <w:szCs w:val="16"/>
              </w:rPr>
              <w:t xml:space="preserve"> </w:t>
            </w:r>
            <w:r w:rsidRPr="008B720A">
              <w:rPr>
                <w:rFonts w:eastAsia="Verdana"/>
                <w:color w:val="auto"/>
                <w:sz w:val="16"/>
                <w:szCs w:val="16"/>
              </w:rPr>
              <w:t>4</w:t>
            </w:r>
            <w:proofErr w:type="gramStart"/>
            <w:r w:rsidRPr="008B720A">
              <w:rPr>
                <w:rFonts w:eastAsia="Verdana"/>
                <w:color w:val="auto"/>
                <w:sz w:val="16"/>
                <w:szCs w:val="16"/>
              </w:rPr>
              <w:t>,5</w:t>
            </w:r>
            <w:proofErr w:type="gramEnd"/>
            <w:r w:rsidRPr="008B720A">
              <w:rPr>
                <w:rFonts w:eastAsia="Verdana"/>
                <w:color w:val="auto"/>
                <w:sz w:val="16"/>
                <w:szCs w:val="16"/>
              </w:rPr>
              <w:t>% and 2016:</w:t>
            </w:r>
            <w:r w:rsidR="00E9760E" w:rsidRPr="008B720A">
              <w:rPr>
                <w:rFonts w:eastAsia="Verdana"/>
                <w:color w:val="auto"/>
                <w:sz w:val="16"/>
                <w:szCs w:val="16"/>
              </w:rPr>
              <w:t xml:space="preserve"> </w:t>
            </w:r>
            <w:r w:rsidRPr="008B720A">
              <w:rPr>
                <w:rFonts w:eastAsia="Verdana"/>
                <w:color w:val="auto"/>
                <w:sz w:val="16"/>
                <w:szCs w:val="16"/>
              </w:rPr>
              <w:t xml:space="preserve">4,75%). </w:t>
            </w:r>
          </w:p>
          <w:p w:rsidR="00123FF5" w:rsidRPr="008B720A" w:rsidRDefault="00123FF5" w:rsidP="00123FF5">
            <w:pPr>
              <w:rPr>
                <w:rFonts w:eastAsia="Verdana"/>
                <w:color w:val="auto"/>
                <w:sz w:val="16"/>
                <w:szCs w:val="16"/>
              </w:rPr>
            </w:pPr>
          </w:p>
          <w:p w:rsidR="00123FF5" w:rsidRPr="008B720A" w:rsidRDefault="00123FF5" w:rsidP="00123FF5">
            <w:pPr>
              <w:rPr>
                <w:rFonts w:eastAsia="Verdana"/>
                <w:color w:val="auto"/>
                <w:sz w:val="16"/>
                <w:szCs w:val="16"/>
              </w:rPr>
            </w:pPr>
            <w:r w:rsidRPr="008B720A">
              <w:rPr>
                <w:rFonts w:eastAsia="Verdana"/>
                <w:color w:val="auto"/>
                <w:sz w:val="16"/>
                <w:szCs w:val="16"/>
              </w:rPr>
              <w:t>The notional interest is deducted once the company’s net income has been calculated. This means that, in the case of tax losses carried forward from previous years, the notional interest may be deducted only once the net income of a given fiscal year has been netted of the tax losses carried forward from the previous fiscal years. The deduction of the notional interest cannot result in a tax loss for the company (it can only zero the company’s taxable income). Excess notional interest can be carried forward without time limitation. Alternatively, the company may obtain a tax credit equal to the IRES rate multiplied by the amount of the excess.</w:t>
            </w:r>
          </w:p>
          <w:p w:rsidR="003163C9" w:rsidRPr="008B720A" w:rsidRDefault="003163C9" w:rsidP="00123FF5">
            <w:pPr>
              <w:rPr>
                <w:rFonts w:eastAsia="Verdana"/>
                <w:color w:val="auto"/>
                <w:sz w:val="16"/>
                <w:szCs w:val="16"/>
              </w:rPr>
            </w:pPr>
          </w:p>
          <w:p w:rsidR="003163C9" w:rsidRPr="008B720A" w:rsidRDefault="003163C9" w:rsidP="00123FF5">
            <w:pPr>
              <w:rPr>
                <w:rFonts w:eastAsia="Verdana"/>
                <w:color w:val="auto"/>
                <w:sz w:val="16"/>
                <w:szCs w:val="16"/>
              </w:rPr>
            </w:pPr>
            <w:r w:rsidRPr="008B720A">
              <w:rPr>
                <w:rFonts w:eastAsia="Verdana"/>
                <w:color w:val="auto"/>
                <w:sz w:val="16"/>
                <w:szCs w:val="16"/>
              </w:rPr>
              <w:t>Various specific anti-avoidance provisions apply limiting the benefit of the ACE regime. In particular</w:t>
            </w:r>
            <w:r w:rsidR="00766454" w:rsidRPr="008B720A">
              <w:rPr>
                <w:rFonts w:eastAsia="Verdana"/>
                <w:color w:val="auto"/>
                <w:sz w:val="16"/>
                <w:szCs w:val="16"/>
              </w:rPr>
              <w:t xml:space="preserve"> the net equity increases on which the notional deduction is allowed shall be decreased for (a) cash contributions made to entities of the same group (b) acquisitions of shareholdings in companies already qualified as related entities prior to the acquisition (c) acquisitions of businesses from group companies (d) receipt of cash contributions from non-resident companies, if the latter are controlled by Italian resident companies (e) cash contributions from entities resident in black-listed jurisdictions (f) financing related companies</w:t>
            </w:r>
          </w:p>
          <w:p w:rsidR="000838C9" w:rsidRPr="008B720A" w:rsidRDefault="000838C9" w:rsidP="00123FF5">
            <w:pPr>
              <w:rPr>
                <w:rFonts w:eastAsia="Verdana"/>
                <w:color w:val="auto"/>
                <w:sz w:val="16"/>
                <w:szCs w:val="16"/>
              </w:rPr>
            </w:pPr>
          </w:p>
          <w:p w:rsidR="000838C9" w:rsidRPr="008B720A" w:rsidRDefault="00F40924" w:rsidP="00123FF5">
            <w:pPr>
              <w:rPr>
                <w:rFonts w:eastAsia="Verdana"/>
                <w:color w:val="auto"/>
                <w:sz w:val="16"/>
                <w:szCs w:val="16"/>
              </w:rPr>
            </w:pPr>
            <w:r w:rsidRPr="008B720A">
              <w:rPr>
                <w:rFonts w:eastAsia="Verdana"/>
                <w:color w:val="auto"/>
                <w:sz w:val="16"/>
                <w:szCs w:val="16"/>
              </w:rPr>
              <w:t xml:space="preserve">Please note that </w:t>
            </w:r>
            <w:r w:rsidR="000838C9" w:rsidRPr="008B720A">
              <w:rPr>
                <w:rFonts w:eastAsia="Verdana"/>
                <w:color w:val="auto"/>
                <w:sz w:val="16"/>
                <w:szCs w:val="16"/>
              </w:rPr>
              <w:t>(a), (b), (c)</w:t>
            </w:r>
            <w:proofErr w:type="gramStart"/>
            <w:r w:rsidR="000838C9" w:rsidRPr="008B720A">
              <w:rPr>
                <w:rFonts w:eastAsia="Verdana"/>
                <w:color w:val="auto"/>
                <w:sz w:val="16"/>
                <w:szCs w:val="16"/>
              </w:rPr>
              <w:t>,</w:t>
            </w:r>
            <w:proofErr w:type="gramEnd"/>
            <w:r w:rsidR="000838C9" w:rsidRPr="008B720A">
              <w:rPr>
                <w:rFonts w:eastAsia="Verdana"/>
                <w:color w:val="auto"/>
                <w:sz w:val="16"/>
                <w:szCs w:val="16"/>
              </w:rPr>
              <w:t xml:space="preserve"> cases should refer only to contributions and acquisitions between resident companies.</w:t>
            </w:r>
          </w:p>
          <w:p w:rsidR="00CB7059" w:rsidRPr="008B720A" w:rsidRDefault="00CB7059" w:rsidP="00123FF5">
            <w:pPr>
              <w:rPr>
                <w:rFonts w:eastAsia="Verdana"/>
                <w:color w:val="auto"/>
                <w:sz w:val="16"/>
                <w:szCs w:val="16"/>
              </w:rPr>
            </w:pPr>
          </w:p>
          <w:p w:rsidR="00CB7059" w:rsidRPr="008B720A" w:rsidRDefault="00CB7059" w:rsidP="00123FF5">
            <w:pPr>
              <w:rPr>
                <w:rFonts w:eastAsia="Verdana"/>
                <w:color w:val="auto"/>
                <w:sz w:val="16"/>
                <w:szCs w:val="16"/>
              </w:rPr>
            </w:pPr>
            <w:r w:rsidRPr="008B720A">
              <w:rPr>
                <w:rFonts w:eastAsia="Verdana"/>
                <w:bCs/>
                <w:color w:val="auto"/>
                <w:sz w:val="16"/>
                <w:szCs w:val="16"/>
              </w:rPr>
              <w:t>In principle, the deduction can be claimed also against financial income.</w:t>
            </w:r>
          </w:p>
          <w:p w:rsidR="003163C9" w:rsidRPr="008B720A" w:rsidRDefault="003163C9" w:rsidP="00123FF5">
            <w:pPr>
              <w:rPr>
                <w:rFonts w:eastAsia="Verdana"/>
                <w:color w:val="auto"/>
                <w:sz w:val="16"/>
                <w:szCs w:val="16"/>
              </w:rPr>
            </w:pP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color w:val="auto"/>
                <w:sz w:val="16"/>
                <w:szCs w:val="16"/>
              </w:rPr>
            </w:pPr>
            <w:r w:rsidRPr="008B720A">
              <w:rPr>
                <w:rFonts w:eastAsia="Verdana"/>
                <w:bCs/>
                <w:color w:val="auto"/>
                <w:sz w:val="16"/>
                <w:szCs w:val="16"/>
              </w:rPr>
              <w:lastRenderedPageBreak/>
              <w:t>Does your MS offer any tax deduction for dividends declared or paid? If yes, please briefly explain.</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No.</w:t>
            </w:r>
          </w:p>
        </w:tc>
      </w:tr>
      <w:tr w:rsidR="00123FF5" w:rsidRPr="008B720A" w:rsidTr="00BA6A51">
        <w:tc>
          <w:tcPr>
            <w:tcW w:w="9003" w:type="dxa"/>
            <w:gridSpan w:val="2"/>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Royalty and other income from intangible property</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C26E51" w:rsidRPr="008B720A">
              <w:rPr>
                <w:rFonts w:eastAsia="Verdana"/>
                <w:bCs/>
                <w:sz w:val="16"/>
                <w:szCs w:val="16"/>
              </w:rPr>
              <w:t xml:space="preserve"> </w:t>
            </w:r>
            <w:r w:rsidR="00C26E51" w:rsidRPr="008B720A">
              <w:rPr>
                <w:rFonts w:eastAsia="Verdana"/>
                <w:sz w:val="16"/>
                <w:szCs w:val="16"/>
              </w:rPr>
              <w:t>Must the company have its own substantial R&amp;D activities? Can the preferential tax treatment be applied also to income from other taxpayers in your MS?</w:t>
            </w:r>
          </w:p>
        </w:tc>
        <w:tc>
          <w:tcPr>
            <w:tcW w:w="3933" w:type="dxa"/>
            <w:tcBorders>
              <w:top w:val="single" w:sz="8" w:space="0" w:color="A7D3F5"/>
              <w:bottom w:val="single" w:sz="8" w:space="0" w:color="A7D3F5"/>
              <w:right w:val="single" w:sz="8" w:space="0" w:color="A7D3F5"/>
            </w:tcBorders>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 xml:space="preserve">A Patent Box regime has been introduced in 2015 (Law 23 December 2014, no. 190). </w:t>
            </w:r>
          </w:p>
          <w:p w:rsidR="00805208" w:rsidRPr="008B720A" w:rsidRDefault="00805208" w:rsidP="00805208">
            <w:pPr>
              <w:rPr>
                <w:rFonts w:eastAsia="Verdana"/>
                <w:color w:val="auto"/>
                <w:sz w:val="16"/>
                <w:szCs w:val="16"/>
              </w:rPr>
            </w:pPr>
            <w:r w:rsidRPr="008B720A">
              <w:rPr>
                <w:rFonts w:eastAsia="Verdana"/>
                <w:color w:val="auto"/>
                <w:sz w:val="16"/>
                <w:szCs w:val="16"/>
              </w:rPr>
              <w:t>The Patent Box regime provides a 30% in 2015, 40% in 2016 and 50% 2017 and ff. exclusion of the taxable base of the income derived from patent, trademarks and other intangible assets. The exclusion is subject to the condition of the direct use or the licence of the intangible by the enterprise (or the individual).</w:t>
            </w:r>
          </w:p>
          <w:p w:rsidR="00805208" w:rsidRPr="008B720A" w:rsidRDefault="00805208" w:rsidP="00805208">
            <w:pPr>
              <w:rPr>
                <w:rFonts w:eastAsia="Verdana"/>
                <w:color w:val="auto"/>
                <w:sz w:val="16"/>
                <w:szCs w:val="16"/>
              </w:rPr>
            </w:pPr>
            <w:r w:rsidRPr="008B720A">
              <w:rPr>
                <w:rFonts w:eastAsia="Verdana"/>
                <w:color w:val="auto"/>
                <w:sz w:val="16"/>
                <w:szCs w:val="16"/>
              </w:rPr>
              <w:t>In addition, the gains realized from the transfer of intangibles are wholly exempted if at least 90% of the proceeds are re-invested in R&amp;D of such assets.</w:t>
            </w:r>
          </w:p>
          <w:p w:rsidR="00805208" w:rsidRPr="008B720A" w:rsidRDefault="00805208" w:rsidP="00805208">
            <w:pPr>
              <w:rPr>
                <w:rFonts w:eastAsia="Verdana"/>
                <w:color w:val="auto"/>
                <w:sz w:val="16"/>
                <w:szCs w:val="16"/>
              </w:rPr>
            </w:pPr>
          </w:p>
          <w:p w:rsidR="00805208" w:rsidRPr="008B720A" w:rsidRDefault="00805208" w:rsidP="00805208">
            <w:pPr>
              <w:rPr>
                <w:rFonts w:eastAsia="Verdana"/>
                <w:color w:val="auto"/>
                <w:sz w:val="16"/>
                <w:szCs w:val="16"/>
              </w:rPr>
            </w:pPr>
            <w:r w:rsidRPr="008B720A">
              <w:rPr>
                <w:rFonts w:eastAsia="Verdana"/>
                <w:color w:val="auto"/>
                <w:sz w:val="16"/>
                <w:szCs w:val="16"/>
              </w:rPr>
              <w:lastRenderedPageBreak/>
              <w:t xml:space="preserve">The Patent Box regime is applicable to both resident and </w:t>
            </w:r>
            <w:proofErr w:type="spellStart"/>
            <w:r w:rsidRPr="008B720A">
              <w:rPr>
                <w:rFonts w:eastAsia="Verdana"/>
                <w:color w:val="auto"/>
                <w:sz w:val="16"/>
                <w:szCs w:val="16"/>
              </w:rPr>
              <w:t>non resident</w:t>
            </w:r>
            <w:proofErr w:type="spellEnd"/>
            <w:r w:rsidRPr="008B720A">
              <w:rPr>
                <w:rFonts w:eastAsia="Verdana"/>
                <w:color w:val="auto"/>
                <w:sz w:val="16"/>
                <w:szCs w:val="16"/>
              </w:rPr>
              <w:t xml:space="preserve"> subjects. It applies irrespectively from the (domestic or foreign) source of income.</w:t>
            </w:r>
          </w:p>
          <w:p w:rsidR="00805208" w:rsidRPr="008B720A" w:rsidRDefault="00805208" w:rsidP="00805208">
            <w:pPr>
              <w:rPr>
                <w:rFonts w:eastAsia="Verdana"/>
                <w:color w:val="auto"/>
                <w:sz w:val="16"/>
                <w:szCs w:val="16"/>
              </w:rPr>
            </w:pPr>
          </w:p>
          <w:p w:rsidR="00805208" w:rsidRPr="008B720A" w:rsidRDefault="00805208" w:rsidP="00805208">
            <w:pPr>
              <w:rPr>
                <w:rFonts w:eastAsia="Verdana"/>
                <w:color w:val="auto"/>
                <w:sz w:val="16"/>
                <w:szCs w:val="16"/>
              </w:rPr>
            </w:pPr>
            <w:r w:rsidRPr="008B720A">
              <w:rPr>
                <w:rFonts w:eastAsia="Verdana"/>
                <w:color w:val="auto"/>
                <w:sz w:val="16"/>
                <w:szCs w:val="16"/>
              </w:rPr>
              <w:t>The benefit is granted, provided that the companies carries out research and development activities and in proportion to the ratio between (</w:t>
            </w:r>
            <w:proofErr w:type="spellStart"/>
            <w:r w:rsidRPr="008B720A">
              <w:rPr>
                <w:rFonts w:eastAsia="Verdana"/>
                <w:color w:val="auto"/>
                <w:sz w:val="16"/>
                <w:szCs w:val="16"/>
              </w:rPr>
              <w:t>i</w:t>
            </w:r>
            <w:proofErr w:type="spellEnd"/>
            <w:r w:rsidRPr="008B720A">
              <w:rPr>
                <w:rFonts w:eastAsia="Verdana"/>
                <w:color w:val="auto"/>
                <w:sz w:val="16"/>
                <w:szCs w:val="16"/>
              </w:rPr>
              <w:t>) the research and development costs borne by the company and (ii) the overall costs borne to produce the relevant intangible.</w:t>
            </w:r>
          </w:p>
          <w:p w:rsidR="00805208" w:rsidRPr="008B720A" w:rsidRDefault="00805208" w:rsidP="00805208">
            <w:pPr>
              <w:rPr>
                <w:rFonts w:eastAsia="Verdana"/>
                <w:color w:val="auto"/>
                <w:sz w:val="16"/>
                <w:szCs w:val="16"/>
              </w:rPr>
            </w:pPr>
          </w:p>
          <w:p w:rsidR="00805208" w:rsidRPr="008B720A" w:rsidRDefault="00805208" w:rsidP="00805208">
            <w:pPr>
              <w:rPr>
                <w:rFonts w:eastAsia="Verdana"/>
                <w:color w:val="auto"/>
                <w:sz w:val="16"/>
                <w:szCs w:val="16"/>
              </w:rPr>
            </w:pPr>
            <w:r w:rsidRPr="008B720A">
              <w:rPr>
                <w:rFonts w:eastAsia="Verdana"/>
                <w:color w:val="auto"/>
                <w:sz w:val="16"/>
                <w:szCs w:val="16"/>
              </w:rPr>
              <w:t xml:space="preserve">The implementation of the above regime is subject to the enactment of the implementing ministerial decrees that have not been issued yet at the date hereof. </w:t>
            </w:r>
          </w:p>
          <w:p w:rsidR="00805208" w:rsidRPr="008B720A" w:rsidRDefault="00805208" w:rsidP="00805208">
            <w:pPr>
              <w:rPr>
                <w:rFonts w:eastAsia="Verdana"/>
                <w:color w:val="auto"/>
                <w:sz w:val="16"/>
                <w:szCs w:val="16"/>
              </w:rPr>
            </w:pPr>
          </w:p>
          <w:p w:rsidR="00766454" w:rsidRPr="008B720A" w:rsidRDefault="00805208" w:rsidP="00805208">
            <w:pPr>
              <w:rPr>
                <w:rFonts w:eastAsia="Verdana"/>
                <w:color w:val="auto"/>
                <w:sz w:val="16"/>
                <w:szCs w:val="16"/>
              </w:rPr>
            </w:pPr>
            <w:r w:rsidRPr="008B720A">
              <w:rPr>
                <w:rFonts w:eastAsia="Verdana"/>
                <w:color w:val="auto"/>
                <w:sz w:val="16"/>
                <w:szCs w:val="16"/>
              </w:rPr>
              <w:t>The regulation does not provide any specific anti-abuse provision. Therefore, GAAR applies.</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lastRenderedPageBreak/>
              <w:t>Can a company in your MS obtain R&amp;D tax credits (typically enhanced tax deduction or tax refund) for costs incurred, e.g. in developing IP rights?</w:t>
            </w:r>
          </w:p>
        </w:tc>
        <w:tc>
          <w:tcPr>
            <w:tcW w:w="3933" w:type="dxa"/>
            <w:shd w:val="clear" w:color="auto" w:fill="auto"/>
          </w:tcPr>
          <w:p w:rsidR="00123FF5" w:rsidRPr="008B720A" w:rsidRDefault="00EC1A3C" w:rsidP="009649BA">
            <w:pPr>
              <w:rPr>
                <w:rFonts w:eastAsia="Verdana"/>
                <w:color w:val="auto"/>
                <w:sz w:val="16"/>
                <w:szCs w:val="16"/>
              </w:rPr>
            </w:pPr>
            <w:r w:rsidRPr="008B720A">
              <w:rPr>
                <w:rFonts w:eastAsia="Verdana"/>
                <w:color w:val="auto"/>
                <w:sz w:val="16"/>
                <w:szCs w:val="16"/>
              </w:rPr>
              <w:t xml:space="preserve">According to Article 3, of the Law Decree n. 145 of 2013, a tax credit </w:t>
            </w:r>
            <w:r w:rsidR="009649BA" w:rsidRPr="008B720A">
              <w:rPr>
                <w:rFonts w:eastAsia="Verdana"/>
                <w:color w:val="auto"/>
                <w:sz w:val="16"/>
                <w:szCs w:val="16"/>
              </w:rPr>
              <w:t>is granted (up to a maximum amount of 5 €/</w:t>
            </w:r>
            <w:proofErr w:type="spellStart"/>
            <w:r w:rsidR="009649BA" w:rsidRPr="008B720A">
              <w:rPr>
                <w:rFonts w:eastAsia="Verdana"/>
                <w:color w:val="auto"/>
                <w:sz w:val="16"/>
                <w:szCs w:val="16"/>
              </w:rPr>
              <w:t>mio</w:t>
            </w:r>
            <w:proofErr w:type="spellEnd"/>
            <w:r w:rsidR="009649BA" w:rsidRPr="008B720A">
              <w:rPr>
                <w:rFonts w:eastAsia="Verdana"/>
                <w:color w:val="auto"/>
                <w:sz w:val="16"/>
                <w:szCs w:val="16"/>
              </w:rPr>
              <w:t xml:space="preserve">) for research and development investments to the extent of </w:t>
            </w:r>
            <w:r w:rsidRPr="008B720A">
              <w:rPr>
                <w:rFonts w:eastAsia="Verdana"/>
                <w:color w:val="auto"/>
                <w:sz w:val="16"/>
                <w:szCs w:val="16"/>
              </w:rPr>
              <w:t xml:space="preserve">25% of the </w:t>
            </w:r>
            <w:r w:rsidR="009649BA" w:rsidRPr="008B720A">
              <w:rPr>
                <w:rFonts w:eastAsia="Verdana"/>
                <w:color w:val="auto"/>
                <w:sz w:val="16"/>
                <w:szCs w:val="16"/>
              </w:rPr>
              <w:t xml:space="preserve">excess over </w:t>
            </w:r>
            <w:r w:rsidRPr="008B720A">
              <w:rPr>
                <w:rFonts w:eastAsia="Verdana"/>
                <w:color w:val="auto"/>
                <w:sz w:val="16"/>
                <w:szCs w:val="16"/>
              </w:rPr>
              <w:t xml:space="preserve">the </w:t>
            </w:r>
            <w:r w:rsidR="009649BA" w:rsidRPr="008B720A">
              <w:rPr>
                <w:rFonts w:eastAsia="Verdana"/>
                <w:color w:val="auto"/>
                <w:sz w:val="16"/>
                <w:szCs w:val="16"/>
              </w:rPr>
              <w:t xml:space="preserve">average </w:t>
            </w:r>
            <w:r w:rsidRPr="008B720A">
              <w:rPr>
                <w:rFonts w:eastAsia="Verdana"/>
                <w:color w:val="auto"/>
                <w:sz w:val="16"/>
                <w:szCs w:val="16"/>
              </w:rPr>
              <w:t>amount of investment</w:t>
            </w:r>
            <w:r w:rsidR="009649BA" w:rsidRPr="008B720A">
              <w:rPr>
                <w:rFonts w:eastAsia="Verdana"/>
                <w:color w:val="auto"/>
                <w:sz w:val="16"/>
                <w:szCs w:val="16"/>
              </w:rPr>
              <w:t>s</w:t>
            </w:r>
            <w:r w:rsidRPr="008B720A">
              <w:rPr>
                <w:rFonts w:eastAsia="Verdana"/>
                <w:color w:val="auto"/>
                <w:sz w:val="16"/>
                <w:szCs w:val="16"/>
              </w:rPr>
              <w:t xml:space="preserve"> undergone in the 3 taxable periods before 2015.</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 xml:space="preserve">If yes to 24, </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p>
        </w:tc>
      </w:tr>
      <w:tr w:rsidR="00123FF5" w:rsidRPr="008B720A" w:rsidTr="00BA6A51">
        <w:tc>
          <w:tcPr>
            <w:tcW w:w="5070" w:type="dxa"/>
            <w:shd w:val="clear" w:color="auto" w:fill="auto"/>
          </w:tcPr>
          <w:p w:rsidR="00123FF5" w:rsidRPr="008B720A" w:rsidRDefault="00123FF5" w:rsidP="00BA6A51">
            <w:pPr>
              <w:pStyle w:val="ListNumber"/>
              <w:numPr>
                <w:ilvl w:val="0"/>
                <w:numId w:val="21"/>
              </w:numPr>
              <w:ind w:left="714" w:hanging="357"/>
              <w:jc w:val="left"/>
              <w:rPr>
                <w:rFonts w:eastAsia="Verdana"/>
                <w:b/>
                <w:bCs/>
                <w:sz w:val="16"/>
                <w:szCs w:val="16"/>
              </w:rPr>
            </w:pPr>
            <w:r w:rsidRPr="008B720A">
              <w:rPr>
                <w:rFonts w:eastAsia="Verdana"/>
                <w:bCs/>
                <w:sz w:val="16"/>
                <w:szCs w:val="16"/>
              </w:rPr>
              <w:t>Please briefly explain the requirements which have to be met, e.g. requirements for certain activity or successful development, etc.</w:t>
            </w:r>
          </w:p>
        </w:tc>
        <w:tc>
          <w:tcPr>
            <w:tcW w:w="3933" w:type="dxa"/>
            <w:shd w:val="clear" w:color="auto" w:fill="auto"/>
          </w:tcPr>
          <w:p w:rsidR="001A52BE" w:rsidRPr="008B720A" w:rsidRDefault="001A52BE" w:rsidP="001A52BE">
            <w:pPr>
              <w:rPr>
                <w:rFonts w:eastAsia="Verdana"/>
                <w:color w:val="auto"/>
                <w:sz w:val="16"/>
                <w:szCs w:val="16"/>
              </w:rPr>
            </w:pPr>
            <w:r w:rsidRPr="008B720A">
              <w:rPr>
                <w:rFonts w:eastAsia="Verdana"/>
                <w:color w:val="auto"/>
                <w:sz w:val="16"/>
                <w:szCs w:val="16"/>
              </w:rPr>
              <w:t>The tax credit is granted to any enterprise:</w:t>
            </w:r>
          </w:p>
          <w:p w:rsidR="001A52BE" w:rsidRPr="008B720A" w:rsidRDefault="001A52BE" w:rsidP="009649BA">
            <w:pPr>
              <w:numPr>
                <w:ilvl w:val="0"/>
                <w:numId w:val="35"/>
              </w:numPr>
              <w:ind w:left="600" w:hanging="240"/>
              <w:rPr>
                <w:rFonts w:eastAsia="Verdana"/>
                <w:color w:val="auto"/>
                <w:sz w:val="16"/>
                <w:szCs w:val="16"/>
              </w:rPr>
            </w:pPr>
            <w:r w:rsidRPr="008B720A">
              <w:rPr>
                <w:rFonts w:eastAsia="Verdana"/>
                <w:color w:val="auto"/>
                <w:sz w:val="16"/>
                <w:szCs w:val="16"/>
              </w:rPr>
              <w:t>In respect of one of the investment listed in Article 3(4)(a) to (d) of the Act n. 190 of 2014 and, among the others, research aimed at reaching new knowledge to implement new products;</w:t>
            </w:r>
          </w:p>
          <w:p w:rsidR="001A52BE" w:rsidRPr="008B720A" w:rsidRDefault="001A52BE" w:rsidP="00E5221B">
            <w:pPr>
              <w:numPr>
                <w:ilvl w:val="0"/>
                <w:numId w:val="35"/>
              </w:numPr>
              <w:ind w:left="600" w:hanging="240"/>
              <w:rPr>
                <w:rFonts w:eastAsia="Verdana"/>
                <w:color w:val="auto"/>
                <w:sz w:val="16"/>
                <w:szCs w:val="16"/>
              </w:rPr>
            </w:pPr>
            <w:r w:rsidRPr="008B720A">
              <w:rPr>
                <w:rFonts w:eastAsia="Verdana"/>
                <w:color w:val="auto"/>
                <w:sz w:val="16"/>
                <w:szCs w:val="16"/>
              </w:rPr>
              <w:t>Where the activity does not entail ordinary business activities even when such activities lead to enhancement of products;</w:t>
            </w:r>
          </w:p>
          <w:p w:rsidR="001A52BE" w:rsidRPr="008B720A" w:rsidRDefault="001A52BE" w:rsidP="00E5221B">
            <w:pPr>
              <w:numPr>
                <w:ilvl w:val="0"/>
                <w:numId w:val="35"/>
              </w:numPr>
              <w:ind w:left="600" w:hanging="240"/>
              <w:rPr>
                <w:rFonts w:eastAsia="Verdana"/>
                <w:color w:val="auto"/>
                <w:sz w:val="16"/>
                <w:szCs w:val="16"/>
              </w:rPr>
            </w:pPr>
            <w:r w:rsidRPr="008B720A">
              <w:rPr>
                <w:rFonts w:eastAsia="Verdana"/>
                <w:color w:val="auto"/>
                <w:sz w:val="16"/>
                <w:szCs w:val="16"/>
              </w:rPr>
              <w:t>In respect of expenses for highly skilled employee; amortisation of costs suffered for acquiring instruments for research; funding to research institutions and Universities. In the latter case, costs cannot exceed 50% of the cost incurred.</w:t>
            </w:r>
          </w:p>
          <w:p w:rsidR="00123FF5" w:rsidRPr="008B720A" w:rsidRDefault="001A52BE" w:rsidP="001A52BE">
            <w:pPr>
              <w:rPr>
                <w:rFonts w:eastAsia="Verdana"/>
                <w:color w:val="auto"/>
                <w:sz w:val="16"/>
                <w:szCs w:val="16"/>
              </w:rPr>
            </w:pPr>
            <w:r w:rsidRPr="008B720A">
              <w:rPr>
                <w:rFonts w:eastAsia="Verdana"/>
                <w:color w:val="auto"/>
                <w:sz w:val="16"/>
                <w:szCs w:val="16"/>
              </w:rPr>
              <w:t>Tax credit shall be claimed in the Tax Return.</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1"/>
              </w:numPr>
              <w:ind w:left="714" w:hanging="357"/>
              <w:jc w:val="left"/>
              <w:rPr>
                <w:rFonts w:eastAsia="Verdana"/>
                <w:b/>
                <w:bCs/>
                <w:sz w:val="16"/>
                <w:szCs w:val="16"/>
              </w:rPr>
            </w:pPr>
            <w:r w:rsidRPr="008B720A">
              <w:rPr>
                <w:rFonts w:eastAsia="Verdana"/>
                <w:bCs/>
                <w:sz w:val="16"/>
                <w:szCs w:val="16"/>
              </w:rPr>
              <w:t xml:space="preserve">Can such credits also be obtained for costs that are ultimately reimbursed by a group member company to the company in your MS? </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4A5357" w:rsidP="00123FF5">
            <w:pPr>
              <w:rPr>
                <w:rFonts w:eastAsia="Verdana"/>
                <w:color w:val="auto"/>
                <w:sz w:val="16"/>
                <w:szCs w:val="16"/>
              </w:rPr>
            </w:pPr>
            <w:r w:rsidRPr="008B720A">
              <w:rPr>
                <w:rFonts w:eastAsia="Verdana"/>
                <w:color w:val="auto"/>
                <w:sz w:val="16"/>
                <w:szCs w:val="16"/>
              </w:rPr>
              <w:t xml:space="preserve">The wording of the law provision seems to limit the credit to costs actually borne by the company. </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shd w:val="clear" w:color="auto" w:fill="auto"/>
          </w:tcPr>
          <w:p w:rsidR="00C45D3E" w:rsidRPr="008B720A" w:rsidRDefault="00C45D3E" w:rsidP="00C45D3E">
            <w:pPr>
              <w:rPr>
                <w:rFonts w:eastAsia="Verdana"/>
                <w:color w:val="auto"/>
                <w:sz w:val="16"/>
                <w:szCs w:val="16"/>
              </w:rPr>
            </w:pPr>
            <w:r w:rsidRPr="008B720A">
              <w:rPr>
                <w:rFonts w:eastAsia="Verdana"/>
                <w:color w:val="auto"/>
                <w:sz w:val="16"/>
                <w:szCs w:val="16"/>
              </w:rPr>
              <w:t>The transfer is ordinarily taxed on the realized capital gains.</w:t>
            </w:r>
            <w:r w:rsidR="00AD4ACD" w:rsidRPr="008B720A">
              <w:rPr>
                <w:rFonts w:eastAsia="Verdana"/>
                <w:color w:val="auto"/>
                <w:sz w:val="16"/>
                <w:szCs w:val="16"/>
              </w:rPr>
              <w:t xml:space="preserve"> There is n</w:t>
            </w:r>
            <w:r w:rsidR="00E90D3A" w:rsidRPr="008B720A">
              <w:rPr>
                <w:rFonts w:eastAsia="Verdana"/>
                <w:color w:val="auto"/>
                <w:sz w:val="16"/>
                <w:szCs w:val="16"/>
              </w:rPr>
              <w:t>o clear guidance in respect to hard-to–value intangibles.</w:t>
            </w:r>
          </w:p>
          <w:p w:rsidR="00123FF5" w:rsidRPr="008B720A" w:rsidRDefault="00C45D3E" w:rsidP="003B065A">
            <w:pPr>
              <w:rPr>
                <w:rFonts w:eastAsia="Verdana"/>
                <w:color w:val="auto"/>
                <w:sz w:val="16"/>
                <w:szCs w:val="16"/>
              </w:rPr>
            </w:pPr>
            <w:r w:rsidRPr="008B720A">
              <w:rPr>
                <w:rFonts w:eastAsia="Verdana"/>
                <w:color w:val="auto"/>
                <w:sz w:val="16"/>
                <w:szCs w:val="16"/>
              </w:rPr>
              <w:t xml:space="preserve">If the Patent Box regime applies, capital gains are exempted if at least 90% of the income derived is invested in </w:t>
            </w:r>
            <w:r w:rsidR="003B065A" w:rsidRPr="008B720A">
              <w:rPr>
                <w:rFonts w:eastAsia="Verdana"/>
                <w:color w:val="auto"/>
                <w:sz w:val="16"/>
                <w:szCs w:val="16"/>
              </w:rPr>
              <w:t>research and development</w:t>
            </w:r>
            <w:r w:rsidRPr="008B720A">
              <w:rPr>
                <w:rFonts w:eastAsia="Verdana"/>
                <w:color w:val="auto"/>
                <w:sz w:val="16"/>
                <w:szCs w:val="16"/>
              </w:rPr>
              <w:t xml:space="preserve"> in the 2 subsequent taxable periods. The 90% value shall be assessed according with a Ruling procedure to be implemented with the Inland Revenue.</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If no to 26, i.e. your MS would impose tax on the disposal,</w:t>
            </w:r>
          </w:p>
          <w:p w:rsidR="00123FF5" w:rsidRPr="008B720A" w:rsidRDefault="00123FF5" w:rsidP="00BA6A51">
            <w:pPr>
              <w:pStyle w:val="ListNumber"/>
              <w:numPr>
                <w:ilvl w:val="0"/>
                <w:numId w:val="0"/>
              </w:numPr>
              <w:ind w:left="340"/>
              <w:rPr>
                <w:rFonts w:eastAsia="Verdana"/>
                <w:b/>
                <w:bCs/>
                <w:sz w:val="16"/>
                <w:szCs w:val="16"/>
              </w:rPr>
            </w:pP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p>
        </w:tc>
      </w:tr>
      <w:tr w:rsidR="00123FF5" w:rsidRPr="008B720A" w:rsidTr="00BA6A51">
        <w:tc>
          <w:tcPr>
            <w:tcW w:w="5070" w:type="dxa"/>
            <w:shd w:val="clear" w:color="auto" w:fill="auto"/>
          </w:tcPr>
          <w:p w:rsidR="00123FF5" w:rsidRPr="008B720A" w:rsidRDefault="00123FF5" w:rsidP="00BA6A51">
            <w:pPr>
              <w:pStyle w:val="ListNumber"/>
              <w:numPr>
                <w:ilvl w:val="0"/>
                <w:numId w:val="22"/>
              </w:numPr>
              <w:ind w:left="714" w:hanging="357"/>
              <w:jc w:val="left"/>
              <w:rPr>
                <w:rFonts w:eastAsia="Verdana"/>
                <w:b/>
                <w:bCs/>
                <w:sz w:val="16"/>
                <w:szCs w:val="16"/>
              </w:rPr>
            </w:pPr>
            <w:r w:rsidRPr="008B720A">
              <w:rPr>
                <w:rFonts w:eastAsia="Verdana"/>
                <w:bCs/>
                <w:sz w:val="16"/>
                <w:szCs w:val="16"/>
              </w:rPr>
              <w:t>Is the relevant capital gains tax rate lower than the standard rate?</w:t>
            </w:r>
          </w:p>
        </w:tc>
        <w:tc>
          <w:tcPr>
            <w:tcW w:w="3933" w:type="dxa"/>
            <w:shd w:val="clear" w:color="auto" w:fill="auto"/>
          </w:tcPr>
          <w:p w:rsidR="00123FF5" w:rsidRPr="008B720A" w:rsidRDefault="00085D1E" w:rsidP="00123FF5">
            <w:pPr>
              <w:rPr>
                <w:rFonts w:eastAsia="Verdana"/>
                <w:color w:val="auto"/>
                <w:sz w:val="16"/>
                <w:szCs w:val="16"/>
              </w:rPr>
            </w:pPr>
            <w:r w:rsidRPr="008B720A">
              <w:rPr>
                <w:rFonts w:eastAsia="Verdana"/>
                <w:color w:val="auto"/>
                <w:sz w:val="16"/>
                <w:szCs w:val="16"/>
              </w:rPr>
              <w:t>No.</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2"/>
              </w:numPr>
              <w:jc w:val="left"/>
              <w:rPr>
                <w:rFonts w:eastAsia="Verdana"/>
                <w:b/>
                <w:bCs/>
                <w:sz w:val="16"/>
                <w:szCs w:val="16"/>
              </w:rPr>
            </w:pPr>
            <w:r w:rsidRPr="008B720A">
              <w:rPr>
                <w:rFonts w:eastAsia="Verdana"/>
                <w:bCs/>
                <w:sz w:val="16"/>
                <w:szCs w:val="16"/>
              </w:rPr>
              <w:t xml:space="preserve">Does taxation arise as a result of an anti-abuse provision or similar? </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085D1E" w:rsidP="00123FF5">
            <w:pPr>
              <w:rPr>
                <w:rFonts w:eastAsia="Verdana"/>
                <w:color w:val="auto"/>
                <w:sz w:val="16"/>
                <w:szCs w:val="16"/>
              </w:rPr>
            </w:pPr>
            <w:r w:rsidRPr="008B720A">
              <w:rPr>
                <w:rFonts w:eastAsia="Verdana"/>
                <w:color w:val="auto"/>
                <w:sz w:val="16"/>
                <w:szCs w:val="16"/>
              </w:rPr>
              <w:t>No.</w:t>
            </w:r>
          </w:p>
        </w:tc>
      </w:tr>
      <w:tr w:rsidR="00123FF5" w:rsidRPr="008B720A" w:rsidTr="00BA6A51">
        <w:tc>
          <w:tcPr>
            <w:tcW w:w="5070" w:type="dxa"/>
            <w:shd w:val="clear" w:color="auto" w:fill="auto"/>
          </w:tcPr>
          <w:p w:rsidR="00123FF5" w:rsidRPr="008B720A" w:rsidRDefault="00123FF5" w:rsidP="00BA6A51">
            <w:pPr>
              <w:pStyle w:val="ListNumber"/>
              <w:numPr>
                <w:ilvl w:val="0"/>
                <w:numId w:val="22"/>
              </w:numPr>
              <w:ind w:left="714" w:hanging="357"/>
              <w:jc w:val="left"/>
              <w:rPr>
                <w:rFonts w:eastAsia="Verdana"/>
                <w:b/>
                <w:bCs/>
                <w:sz w:val="16"/>
                <w:szCs w:val="16"/>
              </w:rPr>
            </w:pPr>
            <w:r w:rsidRPr="008B720A">
              <w:rPr>
                <w:rFonts w:eastAsia="Verdana"/>
                <w:bCs/>
                <w:sz w:val="16"/>
                <w:szCs w:val="16"/>
              </w:rPr>
              <w:t xml:space="preserve">Would any R&amp;D tax credits obtained in the past be </w:t>
            </w:r>
            <w:r w:rsidRPr="008B720A">
              <w:rPr>
                <w:rFonts w:eastAsia="Verdana"/>
                <w:bCs/>
                <w:sz w:val="16"/>
                <w:szCs w:val="16"/>
              </w:rPr>
              <w:lastRenderedPageBreak/>
              <w:t>reversed upon a disposal?</w:t>
            </w:r>
          </w:p>
        </w:tc>
        <w:tc>
          <w:tcPr>
            <w:tcW w:w="3933" w:type="dxa"/>
            <w:shd w:val="clear" w:color="auto" w:fill="auto"/>
          </w:tcPr>
          <w:p w:rsidR="00123FF5" w:rsidRPr="008B720A" w:rsidRDefault="00085D1E" w:rsidP="00123FF5">
            <w:pPr>
              <w:rPr>
                <w:rFonts w:eastAsia="Verdana"/>
                <w:color w:val="auto"/>
                <w:sz w:val="16"/>
                <w:szCs w:val="16"/>
              </w:rPr>
            </w:pPr>
            <w:r w:rsidRPr="008B720A">
              <w:rPr>
                <w:rFonts w:eastAsia="Verdana"/>
                <w:color w:val="auto"/>
                <w:sz w:val="16"/>
                <w:szCs w:val="16"/>
              </w:rPr>
              <w:lastRenderedPageBreak/>
              <w:t>No.</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2"/>
              </w:numPr>
              <w:ind w:left="714" w:hanging="357"/>
              <w:jc w:val="left"/>
              <w:rPr>
                <w:rFonts w:eastAsia="Verdana"/>
                <w:b/>
                <w:bCs/>
                <w:sz w:val="16"/>
                <w:szCs w:val="16"/>
              </w:rPr>
            </w:pPr>
            <w:r w:rsidRPr="008B720A">
              <w:rPr>
                <w:rFonts w:eastAsia="Verdana"/>
                <w:bCs/>
                <w:sz w:val="16"/>
                <w:szCs w:val="16"/>
              </w:rPr>
              <w:lastRenderedPageBreak/>
              <w:t>Can a ruling confirming the value of the IP be obtained?</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085D1E" w:rsidP="00123FF5">
            <w:pPr>
              <w:rPr>
                <w:rFonts w:eastAsia="Verdana"/>
                <w:color w:val="auto"/>
                <w:sz w:val="16"/>
                <w:szCs w:val="16"/>
              </w:rPr>
            </w:pPr>
            <w:r w:rsidRPr="008B720A">
              <w:rPr>
                <w:rFonts w:eastAsia="Verdana"/>
                <w:color w:val="auto"/>
                <w:sz w:val="16"/>
                <w:szCs w:val="16"/>
              </w:rPr>
              <w:t>Yes.</w:t>
            </w:r>
          </w:p>
        </w:tc>
      </w:tr>
      <w:tr w:rsidR="00123FF5" w:rsidRPr="008B720A" w:rsidTr="00BA6A51">
        <w:tc>
          <w:tcPr>
            <w:tcW w:w="9003" w:type="dxa"/>
            <w:gridSpan w:val="2"/>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Royalty and other IP costs</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Is royalty paid by a company in your MS to a group member company in another MS or for utilization of IP tax deductible?</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 xml:space="preserve">Yes. </w:t>
            </w:r>
            <w:r w:rsidRPr="008B720A">
              <w:rPr>
                <w:rFonts w:eastAsia="Verdana" w:cs="Arial"/>
                <w:color w:val="auto"/>
                <w:sz w:val="16"/>
                <w:szCs w:val="16"/>
                <w:shd w:val="clear" w:color="auto" w:fill="FFFFFF"/>
              </w:rPr>
              <w:t>Royalties paid for patents, trademarks, know-how and similar rights are deductible</w:t>
            </w:r>
            <w:r w:rsidR="00B15E74" w:rsidRPr="008B720A">
              <w:rPr>
                <w:rFonts w:eastAsia="Verdana" w:cs="Arial"/>
                <w:color w:val="auto"/>
                <w:sz w:val="16"/>
                <w:szCs w:val="16"/>
                <w:shd w:val="clear" w:color="auto" w:fill="FFFFFF"/>
              </w:rPr>
              <w:t xml:space="preserve"> according to ordinary business income tax rules</w:t>
            </w:r>
            <w:r w:rsidRPr="008B720A">
              <w:rPr>
                <w:rFonts w:eastAsia="Verdana" w:cs="Arial"/>
                <w:color w:val="auto"/>
                <w:sz w:val="16"/>
                <w:szCs w:val="16"/>
                <w:shd w:val="clear" w:color="auto" w:fill="FFFFFF"/>
              </w:rPr>
              <w:t>.</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If yes to 28,</w:t>
            </w:r>
          </w:p>
        </w:tc>
        <w:tc>
          <w:tcPr>
            <w:tcW w:w="3933" w:type="dxa"/>
            <w:shd w:val="clear" w:color="auto" w:fill="auto"/>
          </w:tcPr>
          <w:p w:rsidR="00123FF5" w:rsidRPr="008B720A" w:rsidRDefault="00123FF5" w:rsidP="00123FF5">
            <w:pPr>
              <w:rPr>
                <w:rFonts w:eastAsia="Verdana"/>
                <w:color w:val="auto"/>
                <w:sz w:val="16"/>
                <w:szCs w:val="16"/>
              </w:rPr>
            </w:pP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8"/>
              </w:numPr>
              <w:jc w:val="left"/>
              <w:rPr>
                <w:rFonts w:eastAsia="Verdana"/>
                <w:b/>
                <w:bCs/>
                <w:sz w:val="16"/>
                <w:szCs w:val="16"/>
              </w:rPr>
            </w:pPr>
            <w:r w:rsidRPr="008B720A">
              <w:rPr>
                <w:rFonts w:eastAsia="Verdana"/>
                <w:bCs/>
                <w:sz w:val="16"/>
                <w:szCs w:val="16"/>
              </w:rPr>
              <w:t xml:space="preserve">Is the tax deduction dependent on whether the royalty income is taxed in the hands of the IP-licensor/IP-owner? </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7A48E0" w:rsidP="00123FF5">
            <w:pPr>
              <w:rPr>
                <w:rFonts w:eastAsia="Verdana"/>
                <w:color w:val="auto"/>
                <w:sz w:val="16"/>
                <w:szCs w:val="16"/>
              </w:rPr>
            </w:pPr>
            <w:r w:rsidRPr="008B720A">
              <w:rPr>
                <w:rFonts w:eastAsia="Verdana"/>
                <w:color w:val="auto"/>
                <w:sz w:val="16"/>
                <w:szCs w:val="16"/>
              </w:rPr>
              <w:t>Not directly, but royalties are</w:t>
            </w:r>
            <w:r w:rsidR="008F37A6" w:rsidRPr="008B720A">
              <w:rPr>
                <w:rFonts w:eastAsia="Verdana"/>
                <w:color w:val="auto"/>
                <w:sz w:val="16"/>
                <w:szCs w:val="16"/>
              </w:rPr>
              <w:t xml:space="preserve"> in principle</w:t>
            </w:r>
            <w:r w:rsidRPr="008B720A">
              <w:rPr>
                <w:rFonts w:eastAsia="Verdana"/>
                <w:color w:val="auto"/>
                <w:sz w:val="16"/>
                <w:szCs w:val="16"/>
              </w:rPr>
              <w:t xml:space="preserve"> not deductible if paid to companies resident in low-tax jurisdictions (Article 110(10) ITA)</w:t>
            </w:r>
            <w:r w:rsidR="005A24A3" w:rsidRPr="008B720A">
              <w:rPr>
                <w:rFonts w:eastAsia="Verdana"/>
                <w:color w:val="auto"/>
                <w:sz w:val="16"/>
                <w:szCs w:val="16"/>
              </w:rPr>
              <w:t>.</w:t>
            </w:r>
          </w:p>
        </w:tc>
      </w:tr>
      <w:tr w:rsidR="00123FF5" w:rsidRPr="008B720A" w:rsidTr="00BA6A51">
        <w:tc>
          <w:tcPr>
            <w:tcW w:w="5070" w:type="dxa"/>
            <w:shd w:val="clear" w:color="auto" w:fill="auto"/>
          </w:tcPr>
          <w:p w:rsidR="00123FF5" w:rsidRPr="008B720A" w:rsidRDefault="00123FF5" w:rsidP="00BA6A51">
            <w:pPr>
              <w:pStyle w:val="ListNumber"/>
              <w:numPr>
                <w:ilvl w:val="0"/>
                <w:numId w:val="28"/>
              </w:numPr>
              <w:ind w:left="714" w:hanging="357"/>
              <w:jc w:val="left"/>
              <w:rPr>
                <w:rFonts w:eastAsia="Verdana"/>
                <w:b/>
                <w:bCs/>
                <w:sz w:val="16"/>
                <w:szCs w:val="16"/>
              </w:rPr>
            </w:pPr>
            <w:r w:rsidRPr="008B720A">
              <w:rPr>
                <w:rFonts w:eastAsia="Verdana"/>
                <w:bCs/>
                <w:sz w:val="16"/>
                <w:szCs w:val="16"/>
              </w:rPr>
              <w:t>Are there types of royalty payments which cannot be deducted?</w:t>
            </w:r>
          </w:p>
        </w:tc>
        <w:tc>
          <w:tcPr>
            <w:tcW w:w="3933" w:type="dxa"/>
            <w:shd w:val="clear" w:color="auto" w:fill="auto"/>
          </w:tcPr>
          <w:p w:rsidR="00123FF5" w:rsidRPr="008B720A" w:rsidRDefault="008E5493" w:rsidP="00123FF5">
            <w:pPr>
              <w:rPr>
                <w:rFonts w:eastAsia="Verdana"/>
                <w:color w:val="auto"/>
                <w:sz w:val="16"/>
                <w:szCs w:val="16"/>
              </w:rPr>
            </w:pPr>
            <w:r w:rsidRPr="008B720A">
              <w:rPr>
                <w:rFonts w:eastAsia="Verdana"/>
                <w:color w:val="auto"/>
                <w:sz w:val="16"/>
                <w:szCs w:val="16"/>
              </w:rPr>
              <w:t>No.</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proofErr w:type="gramStart"/>
            <w:r w:rsidRPr="008B720A">
              <w:rPr>
                <w:rFonts w:eastAsia="Verdana"/>
                <w:bCs/>
                <w:sz w:val="16"/>
                <w:szCs w:val="16"/>
              </w:rPr>
              <w:t>Does</w:t>
            </w:r>
            <w:proofErr w:type="gramEnd"/>
            <w:r w:rsidRPr="008B720A">
              <w:rPr>
                <w:rFonts w:eastAsia="Verdana"/>
                <w:bCs/>
                <w:sz w:val="16"/>
                <w:szCs w:val="16"/>
              </w:rPr>
              <w:t xml:space="preserve"> your MS levy any withholding tax on royalty payments?</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Yes.</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If yes to 30,</w:t>
            </w:r>
          </w:p>
        </w:tc>
        <w:tc>
          <w:tcPr>
            <w:tcW w:w="3933" w:type="dxa"/>
            <w:shd w:val="clear" w:color="auto" w:fill="auto"/>
          </w:tcPr>
          <w:p w:rsidR="00123FF5" w:rsidRPr="008B720A" w:rsidRDefault="00123FF5" w:rsidP="00123FF5">
            <w:pPr>
              <w:rPr>
                <w:rFonts w:eastAsia="Verdana"/>
                <w:color w:val="auto"/>
                <w:sz w:val="16"/>
                <w:szCs w:val="16"/>
              </w:rPr>
            </w:pP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9"/>
              </w:numPr>
              <w:jc w:val="left"/>
              <w:rPr>
                <w:rFonts w:eastAsia="Verdana"/>
                <w:b/>
                <w:bCs/>
                <w:sz w:val="16"/>
                <w:szCs w:val="16"/>
              </w:rPr>
            </w:pPr>
            <w:r w:rsidRPr="008B720A">
              <w:rPr>
                <w:rFonts w:eastAsia="Verdana"/>
                <w:bCs/>
                <w:sz w:val="16"/>
                <w:szCs w:val="16"/>
              </w:rPr>
              <w:t>What is the rate of withholding tax (ignoring tax treaties)?</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B15E74" w:rsidP="00123FF5">
            <w:pPr>
              <w:rPr>
                <w:rFonts w:eastAsia="Verdana"/>
                <w:color w:val="auto"/>
                <w:sz w:val="16"/>
                <w:szCs w:val="16"/>
              </w:rPr>
            </w:pPr>
            <w:r w:rsidRPr="008B720A">
              <w:rPr>
                <w:rFonts w:eastAsia="Verdana"/>
                <w:color w:val="auto"/>
                <w:sz w:val="16"/>
                <w:szCs w:val="16"/>
              </w:rPr>
              <w:t>30</w:t>
            </w:r>
            <w:r w:rsidR="00123FF5" w:rsidRPr="008B720A">
              <w:rPr>
                <w:rFonts w:eastAsia="Verdana"/>
                <w:color w:val="auto"/>
                <w:sz w:val="16"/>
                <w:szCs w:val="16"/>
              </w:rPr>
              <w:t xml:space="preserve">% (generally </w:t>
            </w:r>
            <w:r w:rsidR="00123FF5" w:rsidRPr="008B720A">
              <w:rPr>
                <w:rFonts w:eastAsia="Verdana" w:cs="Arial"/>
                <w:color w:val="auto"/>
                <w:sz w:val="16"/>
                <w:szCs w:val="16"/>
                <w:shd w:val="clear" w:color="auto" w:fill="FFFFFF"/>
              </w:rPr>
              <w:t>applied to 75% of the gross amount of the payment, resulting in an effective rate of 22.5%).</w:t>
            </w:r>
            <w:r w:rsidR="00123FF5" w:rsidRPr="008B720A">
              <w:rPr>
                <w:rStyle w:val="apple-converted-space"/>
                <w:rFonts w:eastAsia="Verdana" w:cs="Arial"/>
                <w:color w:val="auto"/>
                <w:sz w:val="16"/>
                <w:szCs w:val="16"/>
                <w:shd w:val="clear" w:color="auto" w:fill="FFFFFF"/>
              </w:rPr>
              <w:t> </w:t>
            </w:r>
          </w:p>
        </w:tc>
      </w:tr>
      <w:tr w:rsidR="00123FF5" w:rsidRPr="008B720A" w:rsidTr="00BA6A51">
        <w:tc>
          <w:tcPr>
            <w:tcW w:w="5070" w:type="dxa"/>
            <w:shd w:val="clear" w:color="auto" w:fill="auto"/>
          </w:tcPr>
          <w:p w:rsidR="00123FF5" w:rsidRPr="008B720A" w:rsidRDefault="00123FF5" w:rsidP="00BA6A51">
            <w:pPr>
              <w:pStyle w:val="ListNumber"/>
              <w:numPr>
                <w:ilvl w:val="0"/>
                <w:numId w:val="29"/>
              </w:numPr>
              <w:jc w:val="left"/>
              <w:rPr>
                <w:rFonts w:eastAsia="Verdana"/>
                <w:b/>
                <w:bCs/>
                <w:sz w:val="16"/>
                <w:szCs w:val="16"/>
              </w:rPr>
            </w:pPr>
            <w:r w:rsidRPr="008B720A">
              <w:rPr>
                <w:rFonts w:eastAsia="Verdana"/>
                <w:bCs/>
                <w:sz w:val="16"/>
                <w:szCs w:val="16"/>
              </w:rPr>
              <w:t>Are there types of royalty payments which are not subject to withholding tax?</w:t>
            </w:r>
          </w:p>
        </w:tc>
        <w:tc>
          <w:tcPr>
            <w:tcW w:w="3933" w:type="dxa"/>
            <w:shd w:val="clear" w:color="auto" w:fill="auto"/>
          </w:tcPr>
          <w:p w:rsidR="00123FF5" w:rsidRPr="008B720A" w:rsidRDefault="00123FF5" w:rsidP="00123FF5">
            <w:pPr>
              <w:rPr>
                <w:rFonts w:eastAsia="Verdana" w:cs="Arial"/>
                <w:i/>
                <w:color w:val="auto"/>
                <w:sz w:val="16"/>
                <w:szCs w:val="16"/>
                <w:shd w:val="clear" w:color="auto" w:fill="FFFFFF"/>
              </w:rPr>
            </w:pPr>
            <w:r w:rsidRPr="008B720A">
              <w:rPr>
                <w:rFonts w:eastAsia="Verdana" w:cs="Arial"/>
                <w:color w:val="auto"/>
                <w:sz w:val="16"/>
                <w:szCs w:val="16"/>
                <w:shd w:val="clear" w:color="auto" w:fill="FFFFFF"/>
              </w:rPr>
              <w:t xml:space="preserve">Outbound royalties are exempt from any Italian tax imposed on those payments, provided that </w:t>
            </w:r>
            <w:r w:rsidR="008E5493" w:rsidRPr="008B720A">
              <w:rPr>
                <w:rFonts w:eastAsia="Verdana" w:cs="Arial"/>
                <w:color w:val="auto"/>
                <w:sz w:val="16"/>
                <w:szCs w:val="16"/>
                <w:shd w:val="clear" w:color="auto" w:fill="FFFFFF"/>
              </w:rPr>
              <w:t xml:space="preserve">the requirements established in the Interest and Royalties Directive </w:t>
            </w:r>
            <w:proofErr w:type="gramStart"/>
            <w:r w:rsidR="008E5493" w:rsidRPr="008B720A">
              <w:rPr>
                <w:rFonts w:eastAsia="Verdana" w:cs="Arial"/>
                <w:color w:val="auto"/>
                <w:sz w:val="16"/>
                <w:szCs w:val="16"/>
                <w:shd w:val="clear" w:color="auto" w:fill="FFFFFF"/>
              </w:rPr>
              <w:t>are</w:t>
            </w:r>
            <w:proofErr w:type="gramEnd"/>
            <w:r w:rsidR="008E5493" w:rsidRPr="008B720A">
              <w:rPr>
                <w:rFonts w:eastAsia="Verdana" w:cs="Arial"/>
                <w:color w:val="auto"/>
                <w:sz w:val="16"/>
                <w:szCs w:val="16"/>
                <w:shd w:val="clear" w:color="auto" w:fill="FFFFFF"/>
              </w:rPr>
              <w:t xml:space="preserve"> met (Article 26-</w:t>
            </w:r>
            <w:r w:rsidR="008E5493" w:rsidRPr="008B720A">
              <w:rPr>
                <w:rFonts w:eastAsia="Verdana" w:cs="Arial"/>
                <w:i/>
                <w:color w:val="auto"/>
                <w:sz w:val="16"/>
                <w:szCs w:val="16"/>
                <w:shd w:val="clear" w:color="auto" w:fill="FFFFFF"/>
              </w:rPr>
              <w:t>quater</w:t>
            </w:r>
            <w:r w:rsidR="008E5493" w:rsidRPr="008B720A">
              <w:rPr>
                <w:rFonts w:eastAsia="Verdana" w:cs="Arial"/>
                <w:color w:val="auto"/>
                <w:sz w:val="16"/>
                <w:szCs w:val="16"/>
                <w:shd w:val="clear" w:color="auto" w:fill="FFFFFF"/>
              </w:rPr>
              <w:t xml:space="preserve"> of the Presidential Decree n. 600 of 1973).</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numPr>
                <w:ilvl w:val="0"/>
                <w:numId w:val="29"/>
              </w:numPr>
              <w:jc w:val="left"/>
              <w:rPr>
                <w:rFonts w:eastAsia="Verdana"/>
                <w:b/>
                <w:bCs/>
                <w:sz w:val="16"/>
                <w:szCs w:val="16"/>
              </w:rPr>
            </w:pPr>
            <w:r w:rsidRPr="008B720A">
              <w:rPr>
                <w:rFonts w:eastAsia="Verdana"/>
                <w:bCs/>
                <w:sz w:val="16"/>
                <w:szCs w:val="16"/>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8E5493" w:rsidP="00123FF5">
            <w:pPr>
              <w:rPr>
                <w:rFonts w:eastAsia="Verdana"/>
                <w:color w:val="auto"/>
                <w:sz w:val="16"/>
                <w:szCs w:val="16"/>
              </w:rPr>
            </w:pPr>
            <w:r w:rsidRPr="008B720A">
              <w:rPr>
                <w:rFonts w:eastAsia="Verdana"/>
                <w:color w:val="auto"/>
                <w:sz w:val="16"/>
                <w:szCs w:val="16"/>
              </w:rPr>
              <w:t>Yes. The beneficial owner concept is adopted by Article 26-</w:t>
            </w:r>
            <w:r w:rsidRPr="008B720A">
              <w:rPr>
                <w:rFonts w:eastAsia="Verdana"/>
                <w:i/>
                <w:color w:val="auto"/>
                <w:sz w:val="16"/>
                <w:szCs w:val="16"/>
              </w:rPr>
              <w:t>quarter</w:t>
            </w:r>
            <w:r w:rsidRPr="008B720A">
              <w:rPr>
                <w:rFonts w:eastAsia="Verdana"/>
                <w:color w:val="auto"/>
                <w:sz w:val="16"/>
                <w:szCs w:val="16"/>
              </w:rPr>
              <w:t>(4)(c) of the Presidential Decree n. 600 of 1973, which implements the Interest and Royalties Directive, and by (almost all) the double tax conventions stipulated by Italy.</w:t>
            </w:r>
          </w:p>
        </w:tc>
      </w:tr>
      <w:tr w:rsidR="00123FF5" w:rsidRPr="008B720A" w:rsidTr="00BA6A51">
        <w:tc>
          <w:tcPr>
            <w:tcW w:w="5070" w:type="dxa"/>
            <w:shd w:val="clear" w:color="auto" w:fill="auto"/>
          </w:tcPr>
          <w:p w:rsidR="00123FF5" w:rsidRPr="008B720A" w:rsidRDefault="00123FF5" w:rsidP="00BA6A51">
            <w:pPr>
              <w:pStyle w:val="ListNumber"/>
              <w:numPr>
                <w:ilvl w:val="0"/>
                <w:numId w:val="29"/>
              </w:numPr>
              <w:jc w:val="left"/>
              <w:rPr>
                <w:rFonts w:eastAsia="Verdana"/>
                <w:b/>
                <w:bCs/>
                <w:sz w:val="16"/>
                <w:szCs w:val="16"/>
              </w:rPr>
            </w:pPr>
            <w:r w:rsidRPr="008B720A">
              <w:rPr>
                <w:rFonts w:eastAsia="Verdana"/>
                <w:bCs/>
                <w:sz w:val="16"/>
                <w:szCs w:val="16"/>
              </w:rPr>
              <w:t>Is the tax exemption/reduction/refund subject to any other anti-avoidance requirements, e.g. based on a test of the substance of the recipient? If yes, please explain briefly.</w:t>
            </w:r>
          </w:p>
        </w:tc>
        <w:tc>
          <w:tcPr>
            <w:tcW w:w="3933" w:type="dxa"/>
            <w:shd w:val="clear" w:color="auto" w:fill="auto"/>
          </w:tcPr>
          <w:p w:rsidR="00B15E74" w:rsidRPr="008B720A" w:rsidRDefault="00B15E74" w:rsidP="00B15E74">
            <w:pPr>
              <w:rPr>
                <w:rFonts w:eastAsia="Verdana"/>
                <w:color w:val="auto"/>
                <w:sz w:val="16"/>
                <w:szCs w:val="16"/>
              </w:rPr>
            </w:pPr>
            <w:r w:rsidRPr="008B720A">
              <w:rPr>
                <w:rFonts w:eastAsia="Verdana"/>
                <w:color w:val="auto"/>
                <w:sz w:val="16"/>
                <w:szCs w:val="16"/>
              </w:rPr>
              <w:t xml:space="preserve">Ordinary domestic anti-avoidance rule on interest payments falling within the scope of the Interest and Royalties Directive if made to companies controlled directly or indirectly by one or more persons that are not resident in a State of the European Union. </w:t>
            </w:r>
          </w:p>
          <w:p w:rsidR="00123FF5" w:rsidRPr="008B720A" w:rsidRDefault="00123FF5" w:rsidP="00123FF5">
            <w:pPr>
              <w:rPr>
                <w:rFonts w:eastAsia="Verdana"/>
                <w:color w:val="auto"/>
                <w:sz w:val="16"/>
                <w:szCs w:val="16"/>
              </w:rPr>
            </w:pPr>
          </w:p>
        </w:tc>
      </w:tr>
      <w:tr w:rsidR="00123FF5" w:rsidRPr="008B720A" w:rsidTr="00BA6A51">
        <w:tc>
          <w:tcPr>
            <w:tcW w:w="9003" w:type="dxa"/>
            <w:gridSpan w:val="2"/>
            <w:tcBorders>
              <w:top w:val="single" w:sz="8" w:space="0" w:color="A7D3F5"/>
              <w:bottom w:val="single" w:sz="8" w:space="0" w:color="A7D3F5"/>
            </w:tcBorders>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Group taxation</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Yes.</w:t>
            </w:r>
          </w:p>
          <w:p w:rsidR="00123FF5" w:rsidRPr="008B720A" w:rsidRDefault="00123FF5" w:rsidP="00123FF5">
            <w:pPr>
              <w:rPr>
                <w:rFonts w:eastAsia="Verdana"/>
                <w:color w:val="auto"/>
                <w:sz w:val="16"/>
                <w:szCs w:val="16"/>
              </w:rPr>
            </w:pPr>
          </w:p>
          <w:p w:rsidR="00123FF5" w:rsidRPr="008B720A" w:rsidRDefault="00123FF5" w:rsidP="00123FF5">
            <w:pPr>
              <w:rPr>
                <w:rStyle w:val="apple-converted-space"/>
                <w:rFonts w:eastAsia="Verdana" w:cs="Arial"/>
                <w:color w:val="auto"/>
                <w:sz w:val="16"/>
                <w:szCs w:val="16"/>
                <w:shd w:val="clear" w:color="auto" w:fill="FFFFFF"/>
              </w:rPr>
            </w:pPr>
            <w:r w:rsidRPr="008B720A">
              <w:rPr>
                <w:rFonts w:eastAsia="Verdana" w:cs="Arial"/>
                <w:color w:val="auto"/>
                <w:sz w:val="16"/>
                <w:szCs w:val="16"/>
                <w:shd w:val="clear" w:color="auto" w:fill="FFFFFF"/>
              </w:rPr>
              <w:t>Italian tax law provides for two different regimes of tax consolidation, i.e. the domestic tax consolidation and the worldwide tax consolidation.</w:t>
            </w:r>
          </w:p>
          <w:p w:rsidR="00123FF5" w:rsidRPr="008B720A" w:rsidRDefault="00123FF5" w:rsidP="00123FF5">
            <w:pPr>
              <w:rPr>
                <w:rStyle w:val="apple-converted-space"/>
                <w:rFonts w:eastAsia="Verdana" w:cs="Arial"/>
                <w:color w:val="auto"/>
                <w:sz w:val="16"/>
                <w:szCs w:val="16"/>
                <w:shd w:val="clear" w:color="auto" w:fill="FFFFFF"/>
              </w:rPr>
            </w:pPr>
          </w:p>
          <w:p w:rsidR="00123FF5" w:rsidRPr="008B720A" w:rsidRDefault="00123FF5" w:rsidP="00123FF5">
            <w:pPr>
              <w:rPr>
                <w:rStyle w:val="apple-converted-space"/>
                <w:rFonts w:eastAsia="Verdana" w:cs="Arial"/>
                <w:color w:val="auto"/>
                <w:sz w:val="16"/>
                <w:szCs w:val="16"/>
                <w:shd w:val="clear" w:color="auto" w:fill="FFFFFF"/>
              </w:rPr>
            </w:pPr>
            <w:r w:rsidRPr="008B720A">
              <w:rPr>
                <w:rStyle w:val="apple-converted-space"/>
                <w:rFonts w:eastAsia="Verdana" w:cs="Arial"/>
                <w:color w:val="auto"/>
                <w:sz w:val="16"/>
                <w:szCs w:val="16"/>
                <w:u w:val="single"/>
                <w:shd w:val="clear" w:color="auto" w:fill="FFFFFF"/>
              </w:rPr>
              <w:t>Domestic</w:t>
            </w:r>
            <w:r w:rsidR="00277EC3" w:rsidRPr="008B720A">
              <w:rPr>
                <w:rStyle w:val="apple-converted-space"/>
                <w:rFonts w:eastAsia="Verdana" w:cs="Arial"/>
                <w:color w:val="auto"/>
                <w:sz w:val="16"/>
                <w:szCs w:val="16"/>
                <w:u w:val="single"/>
                <w:shd w:val="clear" w:color="auto" w:fill="FFFFFF"/>
              </w:rPr>
              <w:t xml:space="preserve"> (Articles 117 ff. ITA)</w:t>
            </w:r>
            <w:r w:rsidRPr="008B720A">
              <w:rPr>
                <w:rStyle w:val="apple-converted-space"/>
                <w:rFonts w:eastAsia="Verdana" w:cs="Arial"/>
                <w:color w:val="auto"/>
                <w:sz w:val="16"/>
                <w:szCs w:val="16"/>
                <w:shd w:val="clear" w:color="auto" w:fill="FFFFFF"/>
              </w:rPr>
              <w:t>:</w:t>
            </w:r>
          </w:p>
          <w:p w:rsidR="00123FF5" w:rsidRPr="008B720A" w:rsidRDefault="00123FF5" w:rsidP="00277EC3">
            <w:pPr>
              <w:shd w:val="clear" w:color="auto" w:fill="FFFFFF"/>
              <w:rPr>
                <w:rFonts w:eastAsia="Verdana" w:cs="Arial"/>
                <w:color w:val="auto"/>
                <w:sz w:val="16"/>
                <w:szCs w:val="16"/>
                <w:lang w:eastAsia="da-DK"/>
              </w:rPr>
            </w:pPr>
            <w:r w:rsidRPr="008B720A">
              <w:rPr>
                <w:rFonts w:eastAsia="Verdana" w:cs="Arial"/>
                <w:color w:val="auto"/>
                <w:sz w:val="16"/>
                <w:szCs w:val="16"/>
                <w:lang w:eastAsia="da-DK"/>
              </w:rPr>
              <w:t>An el</w:t>
            </w:r>
            <w:r w:rsidR="00277EC3" w:rsidRPr="008B720A">
              <w:rPr>
                <w:rFonts w:eastAsia="Verdana" w:cs="Arial"/>
                <w:color w:val="auto"/>
                <w:sz w:val="16"/>
                <w:szCs w:val="16"/>
                <w:lang w:eastAsia="da-DK"/>
              </w:rPr>
              <w:t xml:space="preserve">igible subsidiary is an Italian </w:t>
            </w:r>
            <w:r w:rsidRPr="008B720A">
              <w:rPr>
                <w:rFonts w:eastAsia="Verdana" w:cs="Arial"/>
                <w:color w:val="auto"/>
                <w:sz w:val="16"/>
                <w:szCs w:val="16"/>
                <w:lang w:eastAsia="da-DK"/>
              </w:rPr>
              <w:t>resident company in which the parent (</w:t>
            </w:r>
            <w:proofErr w:type="spellStart"/>
            <w:r w:rsidRPr="008B720A">
              <w:rPr>
                <w:rFonts w:eastAsia="Verdana" w:cs="Arial"/>
                <w:color w:val="auto"/>
                <w:sz w:val="16"/>
                <w:szCs w:val="16"/>
                <w:lang w:eastAsia="da-DK"/>
              </w:rPr>
              <w:t>i</w:t>
            </w:r>
            <w:proofErr w:type="spellEnd"/>
            <w:r w:rsidRPr="008B720A">
              <w:rPr>
                <w:rFonts w:eastAsia="Verdana" w:cs="Arial"/>
                <w:color w:val="auto"/>
                <w:sz w:val="16"/>
                <w:szCs w:val="16"/>
                <w:lang w:eastAsia="da-DK"/>
              </w:rPr>
              <w:t>) holds, directly or indirectly, the majority of the voting rights that can be exercised at the shareholders’ meeting, (ii) holds, directly or indirectly, more than 50% of the subsidiary’s stated capital and (iii) is entitled, directly or indirectly, to more than 50% of the profits of the subsidiary. In addition, the following conditions must be met:</w:t>
            </w:r>
          </w:p>
          <w:p w:rsidR="00123FF5" w:rsidRPr="008B720A" w:rsidRDefault="00123FF5" w:rsidP="00277EC3">
            <w:pPr>
              <w:numPr>
                <w:ilvl w:val="0"/>
                <w:numId w:val="32"/>
              </w:numPr>
              <w:shd w:val="clear" w:color="auto" w:fill="FFFFFF"/>
              <w:rPr>
                <w:rFonts w:eastAsia="Verdana" w:cs="Arial"/>
                <w:color w:val="auto"/>
                <w:sz w:val="16"/>
                <w:szCs w:val="16"/>
                <w:lang w:eastAsia="da-DK"/>
              </w:rPr>
            </w:pPr>
            <w:r w:rsidRPr="008B720A">
              <w:rPr>
                <w:rFonts w:eastAsia="Verdana" w:cs="Arial"/>
                <w:color w:val="auto"/>
                <w:sz w:val="16"/>
                <w:szCs w:val="16"/>
                <w:lang w:eastAsia="da-DK"/>
              </w:rPr>
              <w:t>the parent and the subsidiaries must have the same fiscal year;</w:t>
            </w:r>
          </w:p>
          <w:p w:rsidR="00123FF5" w:rsidRPr="008B720A" w:rsidRDefault="00123FF5" w:rsidP="00277EC3">
            <w:pPr>
              <w:numPr>
                <w:ilvl w:val="0"/>
                <w:numId w:val="32"/>
              </w:numPr>
              <w:shd w:val="clear" w:color="auto" w:fill="FFFFFF"/>
              <w:rPr>
                <w:rFonts w:eastAsia="Verdana" w:cs="Arial"/>
                <w:color w:val="auto"/>
                <w:sz w:val="16"/>
                <w:szCs w:val="16"/>
                <w:lang w:eastAsia="da-DK"/>
              </w:rPr>
            </w:pPr>
            <w:r w:rsidRPr="008B720A">
              <w:rPr>
                <w:rFonts w:eastAsia="Verdana" w:cs="Arial"/>
                <w:color w:val="auto"/>
                <w:sz w:val="16"/>
                <w:szCs w:val="16"/>
                <w:lang w:eastAsia="da-DK"/>
              </w:rPr>
              <w:t>the election must be made jointly by the parent and by each subsidiary;</w:t>
            </w:r>
          </w:p>
          <w:p w:rsidR="00123FF5" w:rsidRPr="008B720A" w:rsidRDefault="00123FF5" w:rsidP="00277EC3">
            <w:pPr>
              <w:numPr>
                <w:ilvl w:val="0"/>
                <w:numId w:val="32"/>
              </w:numPr>
              <w:shd w:val="clear" w:color="auto" w:fill="FFFFFF"/>
              <w:rPr>
                <w:rFonts w:eastAsia="Verdana" w:cs="Arial"/>
                <w:color w:val="auto"/>
                <w:sz w:val="16"/>
                <w:szCs w:val="16"/>
                <w:lang w:eastAsia="da-DK"/>
              </w:rPr>
            </w:pPr>
            <w:r w:rsidRPr="008B720A">
              <w:rPr>
                <w:rFonts w:eastAsia="Verdana" w:cs="Arial"/>
                <w:color w:val="auto"/>
                <w:sz w:val="16"/>
                <w:szCs w:val="16"/>
                <w:lang w:eastAsia="da-DK"/>
              </w:rPr>
              <w:t>the election for the domestic tax consolidation must be made in the tax return filed in the first fiscal year to which the consolidation applies; and</w:t>
            </w:r>
          </w:p>
          <w:p w:rsidR="00123FF5" w:rsidRPr="008B720A" w:rsidRDefault="00123FF5" w:rsidP="00277EC3">
            <w:pPr>
              <w:numPr>
                <w:ilvl w:val="0"/>
                <w:numId w:val="32"/>
              </w:numPr>
              <w:shd w:val="clear" w:color="auto" w:fill="FFFFFF"/>
              <w:rPr>
                <w:rFonts w:eastAsia="Verdana" w:cs="Arial"/>
                <w:color w:val="auto"/>
                <w:sz w:val="16"/>
                <w:szCs w:val="16"/>
                <w:lang w:eastAsia="da-DK"/>
              </w:rPr>
            </w:pPr>
            <w:proofErr w:type="gramStart"/>
            <w:r w:rsidRPr="008B720A">
              <w:rPr>
                <w:rFonts w:eastAsia="Verdana" w:cs="Arial"/>
                <w:color w:val="auto"/>
                <w:sz w:val="16"/>
                <w:szCs w:val="16"/>
                <w:lang w:eastAsia="da-DK"/>
              </w:rPr>
              <w:t>each</w:t>
            </w:r>
            <w:proofErr w:type="gramEnd"/>
            <w:r w:rsidRPr="008B720A">
              <w:rPr>
                <w:rFonts w:eastAsia="Verdana" w:cs="Arial"/>
                <w:color w:val="auto"/>
                <w:sz w:val="16"/>
                <w:szCs w:val="16"/>
                <w:lang w:eastAsia="da-DK"/>
              </w:rPr>
              <w:t xml:space="preserve"> subsidiary must elect to be domiciled for tax purposes at the domicile of the parent company.</w:t>
            </w:r>
          </w:p>
          <w:p w:rsidR="00123FF5" w:rsidRPr="008B720A" w:rsidRDefault="00123FF5" w:rsidP="00BA6A51">
            <w:pPr>
              <w:shd w:val="clear" w:color="auto" w:fill="FFFFFF"/>
              <w:jc w:val="left"/>
              <w:rPr>
                <w:rFonts w:eastAsia="Verdana" w:cs="Arial"/>
                <w:color w:val="auto"/>
                <w:sz w:val="16"/>
                <w:szCs w:val="16"/>
                <w:lang w:eastAsia="da-DK"/>
              </w:rPr>
            </w:pPr>
          </w:p>
          <w:p w:rsidR="00123FF5" w:rsidRPr="008B720A" w:rsidRDefault="00123FF5" w:rsidP="00123FF5">
            <w:pPr>
              <w:rPr>
                <w:rFonts w:eastAsia="Verdana"/>
                <w:color w:val="auto"/>
                <w:sz w:val="16"/>
                <w:szCs w:val="16"/>
                <w:u w:val="single"/>
              </w:rPr>
            </w:pPr>
            <w:r w:rsidRPr="008B720A">
              <w:rPr>
                <w:rFonts w:eastAsia="Verdana"/>
                <w:color w:val="auto"/>
                <w:sz w:val="16"/>
                <w:szCs w:val="16"/>
                <w:u w:val="single"/>
              </w:rPr>
              <w:t>Worldwide</w:t>
            </w:r>
            <w:r w:rsidR="00277EC3" w:rsidRPr="008B720A">
              <w:rPr>
                <w:rFonts w:eastAsia="Verdana"/>
                <w:color w:val="auto"/>
                <w:sz w:val="16"/>
                <w:szCs w:val="16"/>
                <w:u w:val="single"/>
              </w:rPr>
              <w:t xml:space="preserve"> (Articles 130 ff. ITA)</w:t>
            </w:r>
            <w:r w:rsidRPr="008B720A">
              <w:rPr>
                <w:rFonts w:eastAsia="Verdana"/>
                <w:color w:val="auto"/>
                <w:sz w:val="16"/>
                <w:szCs w:val="16"/>
                <w:u w:val="single"/>
              </w:rPr>
              <w:t>:</w:t>
            </w:r>
          </w:p>
          <w:p w:rsidR="00123FF5" w:rsidRPr="008B720A" w:rsidRDefault="00123FF5" w:rsidP="00BA6A51">
            <w:pPr>
              <w:shd w:val="clear" w:color="auto" w:fill="FFFFFF"/>
              <w:rPr>
                <w:rFonts w:eastAsia="Verdana" w:cs="Arial"/>
                <w:color w:val="auto"/>
                <w:sz w:val="16"/>
                <w:szCs w:val="16"/>
              </w:rPr>
            </w:pPr>
            <w:r w:rsidRPr="008B720A">
              <w:rPr>
                <w:rFonts w:eastAsia="Verdana" w:cs="Arial"/>
                <w:color w:val="auto"/>
                <w:sz w:val="16"/>
                <w:szCs w:val="16"/>
              </w:rPr>
              <w:t xml:space="preserve">Under article 130 </w:t>
            </w:r>
            <w:r w:rsidR="00277EC3" w:rsidRPr="008B720A">
              <w:rPr>
                <w:rFonts w:eastAsia="Verdana" w:cs="Arial"/>
                <w:color w:val="auto"/>
                <w:sz w:val="16"/>
                <w:szCs w:val="16"/>
              </w:rPr>
              <w:t xml:space="preserve">ITA, Italian </w:t>
            </w:r>
            <w:r w:rsidRPr="008B720A">
              <w:rPr>
                <w:rFonts w:eastAsia="Verdana" w:cs="Arial"/>
                <w:color w:val="auto"/>
                <w:sz w:val="16"/>
                <w:szCs w:val="16"/>
              </w:rPr>
              <w:t>resident companies may elect to apply a worldwide tax consolidation to their non-resident subsidiaries. To this end, the resident company must be (</w:t>
            </w:r>
            <w:proofErr w:type="spellStart"/>
            <w:r w:rsidRPr="008B720A">
              <w:rPr>
                <w:rFonts w:eastAsia="Verdana" w:cs="Arial"/>
                <w:color w:val="auto"/>
                <w:sz w:val="16"/>
                <w:szCs w:val="16"/>
              </w:rPr>
              <w:t>i</w:t>
            </w:r>
            <w:proofErr w:type="spellEnd"/>
            <w:r w:rsidRPr="008B720A">
              <w:rPr>
                <w:rFonts w:eastAsia="Verdana" w:cs="Arial"/>
                <w:color w:val="auto"/>
                <w:sz w:val="16"/>
                <w:szCs w:val="16"/>
              </w:rPr>
              <w:t>) listed on a regulated market or (ii) controlled by the government or other go</w:t>
            </w:r>
            <w:r w:rsidR="00277EC3" w:rsidRPr="008B720A">
              <w:rPr>
                <w:rFonts w:eastAsia="Verdana" w:cs="Arial"/>
                <w:color w:val="auto"/>
                <w:sz w:val="16"/>
                <w:szCs w:val="16"/>
              </w:rPr>
              <w:t xml:space="preserve">vernmental entity or by Italian </w:t>
            </w:r>
            <w:r w:rsidRPr="008B720A">
              <w:rPr>
                <w:rFonts w:eastAsia="Verdana" w:cs="Arial"/>
                <w:color w:val="auto"/>
                <w:sz w:val="16"/>
                <w:szCs w:val="16"/>
              </w:rPr>
              <w:t>resident individuals who do not directly or indirectly control other resident or non-resident companies. The eligible non-resident subsidiaries are those companies in which the resident parent company holds, directly or indirectly, more than 50% of the stated capital, voting rights and participation in the profits.</w:t>
            </w:r>
          </w:p>
          <w:p w:rsidR="00123FF5" w:rsidRPr="008B720A" w:rsidRDefault="00123FF5" w:rsidP="00BA6A51">
            <w:pPr>
              <w:shd w:val="clear" w:color="auto" w:fill="FFFFFF"/>
              <w:rPr>
                <w:rFonts w:eastAsia="Verdana" w:cs="Arial"/>
                <w:color w:val="auto"/>
                <w:sz w:val="16"/>
                <w:szCs w:val="16"/>
              </w:rPr>
            </w:pPr>
          </w:p>
          <w:p w:rsidR="00123FF5" w:rsidRPr="008B720A" w:rsidRDefault="00123FF5" w:rsidP="00BA6A51">
            <w:pPr>
              <w:shd w:val="clear" w:color="auto" w:fill="FFFFFF"/>
              <w:rPr>
                <w:rFonts w:eastAsia="Verdana" w:cs="Arial"/>
                <w:color w:val="auto"/>
                <w:sz w:val="16"/>
                <w:szCs w:val="16"/>
              </w:rPr>
            </w:pPr>
            <w:r w:rsidRPr="008B720A">
              <w:rPr>
                <w:rFonts w:eastAsia="Verdana" w:cs="Arial"/>
                <w:color w:val="auto"/>
                <w:sz w:val="16"/>
                <w:szCs w:val="16"/>
              </w:rPr>
              <w:t>The election for the worldwide tax consolidation also requires that:</w:t>
            </w:r>
          </w:p>
          <w:p w:rsidR="00123FF5" w:rsidRPr="008B720A" w:rsidRDefault="00123FF5" w:rsidP="00BA6A51">
            <w:pPr>
              <w:numPr>
                <w:ilvl w:val="0"/>
                <w:numId w:val="32"/>
              </w:numPr>
              <w:shd w:val="clear" w:color="auto" w:fill="FFFFFF"/>
              <w:rPr>
                <w:rFonts w:eastAsia="Verdana" w:cs="Arial"/>
                <w:color w:val="auto"/>
                <w:sz w:val="16"/>
                <w:szCs w:val="16"/>
              </w:rPr>
            </w:pPr>
            <w:r w:rsidRPr="008B720A">
              <w:rPr>
                <w:rFonts w:eastAsia="Verdana" w:cs="Arial"/>
                <w:color w:val="auto"/>
                <w:sz w:val="16"/>
                <w:szCs w:val="16"/>
              </w:rPr>
              <w:t>all non-resident subsidiaries be included in the worldwide tax consolidation (all-in, all-out principle);</w:t>
            </w:r>
          </w:p>
          <w:p w:rsidR="00123FF5" w:rsidRPr="008B720A" w:rsidRDefault="00123FF5" w:rsidP="00BA6A51">
            <w:pPr>
              <w:numPr>
                <w:ilvl w:val="0"/>
                <w:numId w:val="32"/>
              </w:numPr>
              <w:shd w:val="clear" w:color="auto" w:fill="FFFFFF"/>
              <w:rPr>
                <w:rFonts w:eastAsia="Verdana" w:cs="Arial"/>
                <w:color w:val="auto"/>
                <w:sz w:val="16"/>
                <w:szCs w:val="16"/>
              </w:rPr>
            </w:pPr>
            <w:r w:rsidRPr="008B720A">
              <w:rPr>
                <w:rFonts w:eastAsia="Verdana" w:cs="Arial"/>
                <w:color w:val="auto"/>
                <w:sz w:val="16"/>
                <w:szCs w:val="16"/>
              </w:rPr>
              <w:t>the parent company and the subsidiaries have the same fiscal year, unless this is prevented by specific foreign laws;</w:t>
            </w:r>
          </w:p>
          <w:p w:rsidR="00123FF5" w:rsidRPr="008B720A" w:rsidRDefault="00123FF5" w:rsidP="00BA6A51">
            <w:pPr>
              <w:numPr>
                <w:ilvl w:val="0"/>
                <w:numId w:val="32"/>
              </w:numPr>
              <w:shd w:val="clear" w:color="auto" w:fill="FFFFFF"/>
              <w:rPr>
                <w:rFonts w:eastAsia="Verdana" w:cs="Arial"/>
                <w:color w:val="auto"/>
                <w:sz w:val="16"/>
                <w:szCs w:val="16"/>
              </w:rPr>
            </w:pPr>
            <w:r w:rsidRPr="008B720A">
              <w:rPr>
                <w:rFonts w:eastAsia="Verdana" w:cs="Arial"/>
                <w:color w:val="auto"/>
                <w:sz w:val="16"/>
                <w:szCs w:val="16"/>
              </w:rPr>
              <w:t>the financial statements of the consolidated entities will be audited; and</w:t>
            </w:r>
          </w:p>
          <w:p w:rsidR="00123FF5" w:rsidRPr="008B720A" w:rsidRDefault="00123FF5" w:rsidP="00BA6A51">
            <w:pPr>
              <w:numPr>
                <w:ilvl w:val="0"/>
                <w:numId w:val="32"/>
              </w:numPr>
              <w:shd w:val="clear" w:color="auto" w:fill="FFFFFF"/>
              <w:rPr>
                <w:rFonts w:eastAsia="Verdana" w:cs="Arial"/>
                <w:color w:val="auto"/>
                <w:sz w:val="16"/>
                <w:szCs w:val="16"/>
              </w:rPr>
            </w:pPr>
            <w:proofErr w:type="gramStart"/>
            <w:r w:rsidRPr="008B720A">
              <w:rPr>
                <w:rFonts w:eastAsia="Verdana" w:cs="Arial"/>
                <w:color w:val="auto"/>
                <w:sz w:val="16"/>
                <w:szCs w:val="16"/>
              </w:rPr>
              <w:t>the</w:t>
            </w:r>
            <w:proofErr w:type="gramEnd"/>
            <w:r w:rsidRPr="008B720A">
              <w:rPr>
                <w:rFonts w:eastAsia="Verdana" w:cs="Arial"/>
                <w:color w:val="auto"/>
                <w:sz w:val="16"/>
                <w:szCs w:val="16"/>
              </w:rPr>
              <w:t xml:space="preserve"> non-resident subsidiaries issue a statement containing the consent to the auditing of their financial statements and the undertaking to cooperate with the parent company in order to determine the tax consolidated income.</w:t>
            </w:r>
          </w:p>
          <w:p w:rsidR="00277EC3" w:rsidRPr="008B720A" w:rsidRDefault="00277EC3" w:rsidP="00277EC3">
            <w:pPr>
              <w:shd w:val="clear" w:color="auto" w:fill="FFFFFF"/>
              <w:rPr>
                <w:rFonts w:eastAsia="Verdana" w:cs="Arial"/>
                <w:color w:val="auto"/>
                <w:sz w:val="16"/>
                <w:szCs w:val="16"/>
              </w:rPr>
            </w:pPr>
          </w:p>
          <w:p w:rsidR="00277EC3" w:rsidRPr="008B720A" w:rsidRDefault="00277EC3" w:rsidP="009E21F8">
            <w:pPr>
              <w:shd w:val="clear" w:color="auto" w:fill="FFFFFF"/>
              <w:rPr>
                <w:rFonts w:eastAsia="Verdana" w:cs="Arial"/>
                <w:color w:val="auto"/>
                <w:sz w:val="16"/>
                <w:szCs w:val="16"/>
              </w:rPr>
            </w:pPr>
            <w:r w:rsidRPr="008B720A">
              <w:rPr>
                <w:rFonts w:eastAsia="Verdana" w:cs="Arial"/>
                <w:color w:val="auto"/>
                <w:sz w:val="16"/>
                <w:szCs w:val="16"/>
              </w:rPr>
              <w:t xml:space="preserve">Article 115 ITA provides </w:t>
            </w:r>
            <w:r w:rsidR="009E21F8" w:rsidRPr="008B720A">
              <w:rPr>
                <w:rFonts w:eastAsia="Verdana" w:cs="Arial"/>
                <w:color w:val="auto"/>
                <w:sz w:val="16"/>
                <w:szCs w:val="16"/>
              </w:rPr>
              <w:t xml:space="preserve">a specific optional group regime restricted to companies with </w:t>
            </w:r>
            <w:proofErr w:type="gramStart"/>
            <w:r w:rsidR="009E21F8" w:rsidRPr="008B720A">
              <w:rPr>
                <w:rFonts w:eastAsia="Verdana" w:cs="Arial"/>
                <w:color w:val="auto"/>
                <w:sz w:val="16"/>
                <w:szCs w:val="16"/>
              </w:rPr>
              <w:t>a participation</w:t>
            </w:r>
            <w:proofErr w:type="gramEnd"/>
            <w:r w:rsidR="009E21F8" w:rsidRPr="008B720A">
              <w:rPr>
                <w:rFonts w:eastAsia="Verdana" w:cs="Arial"/>
                <w:color w:val="auto"/>
                <w:sz w:val="16"/>
                <w:szCs w:val="16"/>
              </w:rPr>
              <w:t xml:space="preserve"> from 10 to 50%. In this case, income and losses are directly imputed to the participant irrespective of the actual distribution.</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lastRenderedPageBreak/>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Borders>
              <w:top w:val="single" w:sz="8" w:space="0" w:color="A7D3F5"/>
              <w:bottom w:val="single" w:sz="8" w:space="0" w:color="A7D3F5"/>
              <w:right w:val="single" w:sz="8" w:space="0" w:color="A7D3F5"/>
            </w:tcBorders>
            <w:shd w:val="clear" w:color="auto" w:fill="auto"/>
          </w:tcPr>
          <w:p w:rsidR="009E21F8" w:rsidRPr="008B720A" w:rsidRDefault="009E21F8" w:rsidP="00123FF5">
            <w:pPr>
              <w:rPr>
                <w:rFonts w:eastAsia="Verdana"/>
                <w:color w:val="auto"/>
                <w:sz w:val="16"/>
                <w:szCs w:val="16"/>
              </w:rPr>
            </w:pPr>
            <w:r w:rsidRPr="008B720A">
              <w:rPr>
                <w:rFonts w:eastAsia="Verdana"/>
                <w:color w:val="auto"/>
                <w:sz w:val="16"/>
                <w:szCs w:val="16"/>
              </w:rPr>
              <w:t>No.</w:t>
            </w:r>
          </w:p>
          <w:p w:rsidR="00123FF5" w:rsidRPr="008B720A" w:rsidRDefault="009E21F8" w:rsidP="00B15E74">
            <w:pPr>
              <w:rPr>
                <w:rFonts w:eastAsia="Verdana"/>
                <w:color w:val="auto"/>
                <w:sz w:val="16"/>
                <w:szCs w:val="16"/>
              </w:rPr>
            </w:pPr>
            <w:r w:rsidRPr="008B720A">
              <w:rPr>
                <w:rFonts w:eastAsia="Verdana"/>
                <w:color w:val="auto"/>
                <w:sz w:val="16"/>
                <w:szCs w:val="16"/>
              </w:rPr>
              <w:t>However, the acquisition (leveraged debt push-down) falls under the scope of the SAAR provided by Article 37-</w:t>
            </w:r>
            <w:r w:rsidRPr="008B720A">
              <w:rPr>
                <w:rFonts w:eastAsia="Verdana"/>
                <w:i/>
                <w:color w:val="auto"/>
                <w:sz w:val="16"/>
                <w:szCs w:val="16"/>
              </w:rPr>
              <w:t>bis</w:t>
            </w:r>
            <w:r w:rsidRPr="008B720A">
              <w:rPr>
                <w:rFonts w:eastAsia="Verdana"/>
                <w:color w:val="auto"/>
                <w:sz w:val="16"/>
                <w:szCs w:val="16"/>
              </w:rPr>
              <w:t xml:space="preserve"> of the Presidential Decree n. 600 of 1973.</w:t>
            </w:r>
            <w:r w:rsidR="00B54A8A" w:rsidRPr="008B720A">
              <w:rPr>
                <w:rFonts w:eastAsia="Verdana"/>
                <w:color w:val="auto"/>
                <w:sz w:val="16"/>
                <w:szCs w:val="16"/>
              </w:rPr>
              <w:t xml:space="preserve"> The </w:t>
            </w:r>
            <w:r w:rsidR="00D67873" w:rsidRPr="008B720A">
              <w:rPr>
                <w:rFonts w:eastAsia="Verdana"/>
                <w:color w:val="auto"/>
                <w:sz w:val="16"/>
                <w:szCs w:val="16"/>
              </w:rPr>
              <w:t xml:space="preserve">Italian </w:t>
            </w:r>
            <w:r w:rsidR="00B54A8A" w:rsidRPr="008B720A">
              <w:rPr>
                <w:rFonts w:eastAsia="Verdana"/>
                <w:color w:val="auto"/>
                <w:sz w:val="16"/>
                <w:szCs w:val="16"/>
              </w:rPr>
              <w:t>Supreme Court ruled out that such debt push</w:t>
            </w:r>
            <w:r w:rsidR="00D67873" w:rsidRPr="008B720A">
              <w:rPr>
                <w:rFonts w:eastAsia="Verdana"/>
                <w:color w:val="auto"/>
                <w:sz w:val="16"/>
                <w:szCs w:val="16"/>
              </w:rPr>
              <w:t>-</w:t>
            </w:r>
            <w:r w:rsidR="00B54A8A" w:rsidRPr="008B720A">
              <w:rPr>
                <w:rFonts w:eastAsia="Verdana"/>
                <w:color w:val="auto"/>
                <w:sz w:val="16"/>
                <w:szCs w:val="16"/>
              </w:rPr>
              <w:t>down is a legitimate business transaction</w:t>
            </w:r>
          </w:p>
          <w:p w:rsidR="00B54A8A" w:rsidRPr="008B720A" w:rsidRDefault="00B54A8A" w:rsidP="00D67873">
            <w:pPr>
              <w:rPr>
                <w:rFonts w:eastAsia="Verdana"/>
                <w:color w:val="auto"/>
                <w:sz w:val="16"/>
                <w:szCs w:val="16"/>
              </w:rPr>
            </w:pPr>
            <w:r w:rsidRPr="008B720A">
              <w:rPr>
                <w:rFonts w:eastAsia="Verdana"/>
                <w:color w:val="auto"/>
                <w:sz w:val="16"/>
                <w:szCs w:val="16"/>
              </w:rPr>
              <w:t>(</w:t>
            </w:r>
            <w:r w:rsidR="00D67873" w:rsidRPr="008B720A">
              <w:rPr>
                <w:rFonts w:eastAsia="Verdana"/>
                <w:color w:val="auto"/>
                <w:sz w:val="16"/>
                <w:szCs w:val="16"/>
              </w:rPr>
              <w:t>Case n.</w:t>
            </w:r>
            <w:r w:rsidRPr="008B720A">
              <w:rPr>
                <w:rFonts w:eastAsia="Verdana"/>
                <w:color w:val="auto"/>
                <w:sz w:val="16"/>
                <w:szCs w:val="16"/>
              </w:rPr>
              <w:t xml:space="preserve"> 1372/2011).</w:t>
            </w:r>
          </w:p>
        </w:tc>
      </w:tr>
      <w:tr w:rsidR="00123FF5" w:rsidRPr="008B720A" w:rsidTr="00BA6A51">
        <w:tc>
          <w:tcPr>
            <w:tcW w:w="9003" w:type="dxa"/>
            <w:gridSpan w:val="2"/>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CFC rules</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proofErr w:type="gramStart"/>
            <w:r w:rsidRPr="008B720A">
              <w:rPr>
                <w:rFonts w:eastAsia="Verdana"/>
                <w:bCs/>
                <w:sz w:val="16"/>
                <w:szCs w:val="16"/>
              </w:rPr>
              <w:t>Does</w:t>
            </w:r>
            <w:proofErr w:type="gramEnd"/>
            <w:r w:rsidRPr="008B720A">
              <w:rPr>
                <w:rFonts w:eastAsia="Verdana"/>
                <w:bCs/>
                <w:sz w:val="16"/>
                <w:szCs w:val="16"/>
              </w:rPr>
              <w:t xml:space="preserve"> your MS apply CFC rules to foreign subsidiaries of a parent company in your MS?</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123FF5" w:rsidP="00123FF5">
            <w:pPr>
              <w:rPr>
                <w:rFonts w:eastAsia="Verdana"/>
                <w:color w:val="auto"/>
                <w:sz w:val="16"/>
                <w:szCs w:val="16"/>
              </w:rPr>
            </w:pPr>
            <w:r w:rsidRPr="008B720A">
              <w:rPr>
                <w:rFonts w:eastAsia="Verdana"/>
                <w:color w:val="auto"/>
                <w:sz w:val="16"/>
                <w:szCs w:val="16"/>
              </w:rPr>
              <w:t>Yes.</w:t>
            </w:r>
          </w:p>
          <w:p w:rsidR="00123FF5" w:rsidRPr="008B720A" w:rsidRDefault="00123FF5" w:rsidP="00123FF5">
            <w:pPr>
              <w:rPr>
                <w:rFonts w:eastAsia="Verdana"/>
                <w:sz w:val="16"/>
                <w:szCs w:val="16"/>
              </w:rPr>
            </w:pP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If yes to 34, please briefly explain the rules and their scope.</w:t>
            </w:r>
          </w:p>
        </w:tc>
        <w:tc>
          <w:tcPr>
            <w:tcW w:w="3933" w:type="dxa"/>
            <w:shd w:val="clear" w:color="auto" w:fill="auto"/>
          </w:tcPr>
          <w:p w:rsidR="00123FF5" w:rsidRPr="008B720A" w:rsidRDefault="00123FF5" w:rsidP="00BA6A51">
            <w:pPr>
              <w:shd w:val="clear" w:color="auto" w:fill="FFFFFF"/>
              <w:rPr>
                <w:rFonts w:eastAsia="Verdana" w:cs="Arial"/>
                <w:color w:val="auto"/>
                <w:sz w:val="16"/>
                <w:szCs w:val="16"/>
              </w:rPr>
            </w:pPr>
            <w:r w:rsidRPr="008B720A">
              <w:rPr>
                <w:rFonts w:eastAsia="Verdana" w:cs="Arial"/>
                <w:color w:val="auto"/>
                <w:sz w:val="16"/>
                <w:szCs w:val="16"/>
              </w:rPr>
              <w:t>The profits reali</w:t>
            </w:r>
            <w:r w:rsidR="00177168" w:rsidRPr="008B720A">
              <w:rPr>
                <w:rFonts w:eastAsia="Verdana" w:cs="Arial"/>
                <w:color w:val="auto"/>
                <w:sz w:val="16"/>
                <w:szCs w:val="16"/>
              </w:rPr>
              <w:t>s</w:t>
            </w:r>
            <w:r w:rsidR="009E21F8" w:rsidRPr="008B720A">
              <w:rPr>
                <w:rFonts w:eastAsia="Verdana" w:cs="Arial"/>
                <w:color w:val="auto"/>
                <w:sz w:val="16"/>
                <w:szCs w:val="16"/>
              </w:rPr>
              <w:t xml:space="preserve">ed by a non-resident company </w:t>
            </w:r>
            <w:r w:rsidRPr="008B720A">
              <w:rPr>
                <w:rFonts w:eastAsia="Verdana" w:cs="Arial"/>
                <w:color w:val="auto"/>
                <w:sz w:val="16"/>
                <w:szCs w:val="16"/>
              </w:rPr>
              <w:t>are deemed to be the profits of an Italian resident person</w:t>
            </w:r>
            <w:r w:rsidR="009E21F8" w:rsidRPr="008B720A">
              <w:rPr>
                <w:rFonts w:eastAsia="Verdana" w:cs="Arial"/>
                <w:color w:val="auto"/>
                <w:sz w:val="16"/>
                <w:szCs w:val="16"/>
              </w:rPr>
              <w:t xml:space="preserve"> (direct imputation)</w:t>
            </w:r>
            <w:r w:rsidRPr="008B720A">
              <w:rPr>
                <w:rFonts w:eastAsia="Verdana" w:cs="Arial"/>
                <w:color w:val="auto"/>
                <w:sz w:val="16"/>
                <w:szCs w:val="16"/>
              </w:rPr>
              <w:t xml:space="preserve"> if:</w:t>
            </w:r>
          </w:p>
          <w:p w:rsidR="00123FF5" w:rsidRPr="008B720A" w:rsidRDefault="00123FF5" w:rsidP="00BA6A51">
            <w:pPr>
              <w:numPr>
                <w:ilvl w:val="0"/>
                <w:numId w:val="32"/>
              </w:numPr>
              <w:rPr>
                <w:rFonts w:eastAsia="Verdana"/>
                <w:color w:val="auto"/>
                <w:sz w:val="16"/>
                <w:szCs w:val="16"/>
              </w:rPr>
            </w:pPr>
            <w:r w:rsidRPr="008B720A">
              <w:rPr>
                <w:rFonts w:eastAsia="Verdana" w:cs="Arial"/>
                <w:color w:val="auto"/>
                <w:sz w:val="16"/>
                <w:szCs w:val="16"/>
              </w:rPr>
              <w:t>the resident person controls, directly or indirectly, also through trustee companies or interposed third persons, the non-resident company; and</w:t>
            </w:r>
          </w:p>
          <w:p w:rsidR="009E21F8" w:rsidRPr="008B720A" w:rsidRDefault="00123FF5" w:rsidP="009E21F8">
            <w:pPr>
              <w:numPr>
                <w:ilvl w:val="0"/>
                <w:numId w:val="32"/>
              </w:numPr>
              <w:rPr>
                <w:rFonts w:eastAsia="Verdana"/>
                <w:color w:val="auto"/>
                <w:sz w:val="16"/>
                <w:szCs w:val="16"/>
              </w:rPr>
            </w:pPr>
            <w:proofErr w:type="gramStart"/>
            <w:r w:rsidRPr="008B720A">
              <w:rPr>
                <w:rFonts w:eastAsia="Verdana" w:cs="Arial"/>
                <w:color w:val="auto"/>
                <w:sz w:val="16"/>
                <w:szCs w:val="16"/>
              </w:rPr>
              <w:t>the</w:t>
            </w:r>
            <w:proofErr w:type="gramEnd"/>
            <w:r w:rsidRPr="008B720A">
              <w:rPr>
                <w:rFonts w:eastAsia="Verdana" w:cs="Arial"/>
                <w:color w:val="auto"/>
                <w:sz w:val="16"/>
                <w:szCs w:val="16"/>
              </w:rPr>
              <w:t xml:space="preserve"> company is resident in </w:t>
            </w:r>
            <w:r w:rsidR="009E21F8" w:rsidRPr="008B720A">
              <w:rPr>
                <w:rFonts w:eastAsia="Verdana" w:cs="Arial"/>
                <w:color w:val="auto"/>
                <w:sz w:val="16"/>
                <w:szCs w:val="16"/>
              </w:rPr>
              <w:t>black-list jurisdiction</w:t>
            </w:r>
            <w:r w:rsidRPr="008B720A">
              <w:rPr>
                <w:rFonts w:eastAsia="Verdana" w:cs="Arial"/>
                <w:color w:val="auto"/>
                <w:sz w:val="16"/>
                <w:szCs w:val="16"/>
              </w:rPr>
              <w:t>.</w:t>
            </w:r>
          </w:p>
          <w:p w:rsidR="00957719" w:rsidRPr="008B720A" w:rsidRDefault="00957719" w:rsidP="009E21F8">
            <w:pPr>
              <w:rPr>
                <w:rFonts w:eastAsia="Verdana"/>
                <w:color w:val="auto"/>
                <w:sz w:val="16"/>
                <w:szCs w:val="16"/>
              </w:rPr>
            </w:pPr>
            <w:r w:rsidRPr="008B720A">
              <w:rPr>
                <w:rFonts w:eastAsia="Verdana" w:cs="Arial"/>
                <w:color w:val="auto"/>
                <w:sz w:val="16"/>
                <w:szCs w:val="16"/>
                <w:shd w:val="clear" w:color="auto" w:fill="FFFFFF"/>
              </w:rPr>
              <w:t xml:space="preserve">The </w:t>
            </w:r>
            <w:r w:rsidR="009E21F8" w:rsidRPr="008B720A">
              <w:rPr>
                <w:rFonts w:eastAsia="Verdana" w:cs="Arial"/>
                <w:color w:val="auto"/>
                <w:sz w:val="16"/>
                <w:szCs w:val="16"/>
                <w:shd w:val="clear" w:color="auto" w:fill="FFFFFF"/>
              </w:rPr>
              <w:t>black-</w:t>
            </w:r>
            <w:r w:rsidRPr="008B720A">
              <w:rPr>
                <w:rFonts w:eastAsia="Verdana" w:cs="Arial"/>
                <w:color w:val="auto"/>
                <w:sz w:val="16"/>
                <w:szCs w:val="16"/>
                <w:shd w:val="clear" w:color="auto" w:fill="FFFFFF"/>
              </w:rPr>
              <w:t>list contain</w:t>
            </w:r>
            <w:r w:rsidR="009E21F8" w:rsidRPr="008B720A">
              <w:rPr>
                <w:rFonts w:eastAsia="Verdana" w:cs="Arial"/>
                <w:color w:val="auto"/>
                <w:sz w:val="16"/>
                <w:szCs w:val="16"/>
                <w:shd w:val="clear" w:color="auto" w:fill="FFFFFF"/>
              </w:rPr>
              <w:t>s</w:t>
            </w:r>
            <w:r w:rsidRPr="008B720A">
              <w:rPr>
                <w:rFonts w:eastAsia="Verdana" w:cs="Arial"/>
                <w:color w:val="auto"/>
                <w:sz w:val="16"/>
                <w:szCs w:val="16"/>
                <w:shd w:val="clear" w:color="auto" w:fill="FFFFFF"/>
              </w:rPr>
              <w:t xml:space="preserve"> a list of the jurisdictions that (</w:t>
            </w:r>
            <w:proofErr w:type="spellStart"/>
            <w:r w:rsidRPr="008B720A">
              <w:rPr>
                <w:rFonts w:eastAsia="Verdana" w:cs="Arial"/>
                <w:color w:val="auto"/>
                <w:sz w:val="16"/>
                <w:szCs w:val="16"/>
                <w:shd w:val="clear" w:color="auto" w:fill="FFFFFF"/>
              </w:rPr>
              <w:t>i</w:t>
            </w:r>
            <w:proofErr w:type="spellEnd"/>
            <w:r w:rsidRPr="008B720A">
              <w:rPr>
                <w:rFonts w:eastAsia="Verdana" w:cs="Arial"/>
                <w:color w:val="auto"/>
                <w:sz w:val="16"/>
                <w:szCs w:val="16"/>
                <w:shd w:val="clear" w:color="auto" w:fill="FFFFFF"/>
              </w:rPr>
              <w:t xml:space="preserve">) </w:t>
            </w:r>
            <w:r w:rsidR="00B15E74" w:rsidRPr="008B720A">
              <w:rPr>
                <w:rFonts w:eastAsia="Verdana" w:cs="Arial"/>
                <w:color w:val="auto"/>
                <w:sz w:val="16"/>
                <w:szCs w:val="16"/>
                <w:shd w:val="clear" w:color="auto" w:fill="FFFFFF"/>
              </w:rPr>
              <w:t xml:space="preserve">do not </w:t>
            </w:r>
            <w:r w:rsidRPr="008B720A">
              <w:rPr>
                <w:rFonts w:eastAsia="Verdana" w:cs="Arial"/>
                <w:color w:val="auto"/>
                <w:sz w:val="16"/>
                <w:szCs w:val="16"/>
                <w:shd w:val="clear" w:color="auto" w:fill="FFFFFF"/>
              </w:rPr>
              <w:t>allow an adequate exchange of information with Italy and (ii) have a level of taxation materially lower than Italy (low-tax jurisdiction).</w:t>
            </w:r>
          </w:p>
          <w:p w:rsidR="00957719" w:rsidRPr="008B720A" w:rsidRDefault="00957719" w:rsidP="009E21F8">
            <w:pPr>
              <w:shd w:val="clear" w:color="auto" w:fill="FFFFFF"/>
              <w:rPr>
                <w:rFonts w:eastAsia="Verdana" w:cs="Arial"/>
                <w:color w:val="auto"/>
                <w:sz w:val="16"/>
                <w:szCs w:val="16"/>
                <w:lang w:eastAsia="da-DK"/>
              </w:rPr>
            </w:pPr>
            <w:r w:rsidRPr="008B720A">
              <w:rPr>
                <w:rFonts w:eastAsia="Verdana" w:cs="Arial"/>
                <w:color w:val="auto"/>
                <w:sz w:val="16"/>
                <w:szCs w:val="16"/>
                <w:lang w:eastAsia="da-DK"/>
              </w:rPr>
              <w:lastRenderedPageBreak/>
              <w:t>The scope of the CFC rules has been broadened and now also encompasses companies located in non-low-tax jurisdictions, which means that CFC rules may also apply to companies located in the European Union, provided that the following conditions are met:</w:t>
            </w:r>
          </w:p>
          <w:p w:rsidR="00957719" w:rsidRPr="008B720A" w:rsidRDefault="00957719" w:rsidP="009E21F8">
            <w:pPr>
              <w:numPr>
                <w:ilvl w:val="0"/>
                <w:numId w:val="32"/>
              </w:numPr>
              <w:shd w:val="clear" w:color="auto" w:fill="FFFFFF"/>
              <w:rPr>
                <w:rFonts w:eastAsia="Verdana" w:cs="Arial"/>
                <w:color w:val="auto"/>
                <w:sz w:val="16"/>
                <w:szCs w:val="16"/>
                <w:shd w:val="clear" w:color="auto" w:fill="FFFFFF"/>
              </w:rPr>
            </w:pPr>
            <w:r w:rsidRPr="008B720A">
              <w:rPr>
                <w:rFonts w:eastAsia="Verdana" w:cs="Arial"/>
                <w:color w:val="auto"/>
                <w:sz w:val="16"/>
                <w:szCs w:val="16"/>
                <w:lang w:eastAsia="da-DK"/>
              </w:rPr>
              <w:t>the actual income tax paid in the foreign jurisdiction is lower than 50% of the Italian corporate income tax that would be applicable to the company if it were resident in Italy; and</w:t>
            </w:r>
          </w:p>
          <w:p w:rsidR="00957719" w:rsidRPr="008B720A" w:rsidRDefault="00957719" w:rsidP="009E21F8">
            <w:pPr>
              <w:numPr>
                <w:ilvl w:val="0"/>
                <w:numId w:val="32"/>
              </w:numPr>
              <w:shd w:val="clear" w:color="auto" w:fill="FFFFFF"/>
              <w:rPr>
                <w:rFonts w:eastAsia="Verdana" w:cs="Arial"/>
                <w:color w:val="auto"/>
                <w:sz w:val="16"/>
                <w:szCs w:val="16"/>
                <w:shd w:val="clear" w:color="auto" w:fill="FFFFFF"/>
              </w:rPr>
            </w:pPr>
            <w:r w:rsidRPr="008B720A">
              <w:rPr>
                <w:rFonts w:eastAsia="Verdana" w:cs="Arial"/>
                <w:color w:val="auto"/>
                <w:sz w:val="16"/>
                <w:szCs w:val="16"/>
                <w:lang w:eastAsia="da-DK"/>
              </w:rPr>
              <w:t>more than 50% of the proceeds of the controlled company derive from:</w:t>
            </w:r>
          </w:p>
          <w:p w:rsidR="00957719" w:rsidRPr="008B720A" w:rsidRDefault="00957719" w:rsidP="009E21F8">
            <w:pPr>
              <w:numPr>
                <w:ilvl w:val="1"/>
                <w:numId w:val="32"/>
              </w:numPr>
              <w:shd w:val="clear" w:color="auto" w:fill="FFFFFF"/>
              <w:ind w:left="1026"/>
              <w:rPr>
                <w:rFonts w:eastAsia="Verdana" w:cs="Arial"/>
                <w:color w:val="auto"/>
                <w:sz w:val="16"/>
                <w:szCs w:val="16"/>
                <w:shd w:val="clear" w:color="auto" w:fill="FFFFFF"/>
              </w:rPr>
            </w:pPr>
            <w:r w:rsidRPr="008B720A">
              <w:rPr>
                <w:rFonts w:eastAsia="Verdana" w:cs="Arial"/>
                <w:color w:val="auto"/>
                <w:sz w:val="16"/>
                <w:szCs w:val="16"/>
                <w:lang w:eastAsia="da-DK"/>
              </w:rPr>
              <w:t>the managing, holding or investment in securities, shares, receivables or other financial assets;</w:t>
            </w:r>
          </w:p>
          <w:p w:rsidR="00957719" w:rsidRPr="008B720A" w:rsidRDefault="00957719" w:rsidP="009E21F8">
            <w:pPr>
              <w:numPr>
                <w:ilvl w:val="1"/>
                <w:numId w:val="32"/>
              </w:numPr>
              <w:shd w:val="clear" w:color="auto" w:fill="FFFFFF"/>
              <w:ind w:left="1026"/>
              <w:rPr>
                <w:rFonts w:eastAsia="Verdana" w:cs="Arial"/>
                <w:color w:val="auto"/>
                <w:sz w:val="16"/>
                <w:szCs w:val="16"/>
                <w:lang w:eastAsia="da-DK"/>
              </w:rPr>
            </w:pPr>
            <w:r w:rsidRPr="008B720A">
              <w:rPr>
                <w:rFonts w:eastAsia="Verdana" w:cs="Arial"/>
                <w:color w:val="auto"/>
                <w:sz w:val="16"/>
                <w:szCs w:val="16"/>
                <w:lang w:eastAsia="da-DK"/>
              </w:rPr>
              <w:t>the transfer or licensing of patents or copyrights; or</w:t>
            </w:r>
          </w:p>
          <w:p w:rsidR="00957719" w:rsidRPr="008B720A" w:rsidRDefault="00957719" w:rsidP="009E21F8">
            <w:pPr>
              <w:numPr>
                <w:ilvl w:val="1"/>
                <w:numId w:val="32"/>
              </w:numPr>
              <w:shd w:val="clear" w:color="auto" w:fill="FFFFFF"/>
              <w:ind w:left="1026"/>
              <w:rPr>
                <w:rFonts w:eastAsia="Verdana" w:cs="Arial"/>
                <w:color w:val="auto"/>
                <w:sz w:val="16"/>
                <w:szCs w:val="16"/>
                <w:lang w:eastAsia="da-DK"/>
              </w:rPr>
            </w:pPr>
            <w:proofErr w:type="gramStart"/>
            <w:r w:rsidRPr="008B720A">
              <w:rPr>
                <w:rFonts w:eastAsia="Verdana" w:cs="Arial"/>
                <w:color w:val="auto"/>
                <w:sz w:val="16"/>
                <w:szCs w:val="16"/>
                <w:lang w:eastAsia="da-DK"/>
              </w:rPr>
              <w:t>the</w:t>
            </w:r>
            <w:proofErr w:type="gramEnd"/>
            <w:r w:rsidRPr="008B720A">
              <w:rPr>
                <w:rFonts w:eastAsia="Verdana" w:cs="Arial"/>
                <w:color w:val="auto"/>
                <w:sz w:val="16"/>
                <w:szCs w:val="16"/>
                <w:lang w:eastAsia="da-DK"/>
              </w:rPr>
              <w:t xml:space="preserve"> supply of intra-group services, including financial services.</w:t>
            </w:r>
          </w:p>
          <w:p w:rsidR="00957719" w:rsidRPr="008B720A" w:rsidRDefault="00957719" w:rsidP="00BA6A51">
            <w:pPr>
              <w:shd w:val="clear" w:color="auto" w:fill="FFFFFF"/>
              <w:jc w:val="left"/>
              <w:rPr>
                <w:rFonts w:eastAsia="Verdana" w:cs="Arial"/>
                <w:color w:val="auto"/>
                <w:sz w:val="16"/>
                <w:szCs w:val="16"/>
                <w:shd w:val="clear" w:color="auto" w:fill="FFFFFF"/>
              </w:rPr>
            </w:pPr>
          </w:p>
          <w:p w:rsidR="00957719" w:rsidRPr="008B720A" w:rsidRDefault="00957719" w:rsidP="009E21F8">
            <w:pPr>
              <w:shd w:val="clear" w:color="auto" w:fill="FFFFFF"/>
              <w:rPr>
                <w:rFonts w:eastAsia="Verdana" w:cs="Arial"/>
                <w:color w:val="auto"/>
                <w:sz w:val="16"/>
                <w:szCs w:val="16"/>
                <w:lang w:eastAsia="da-DK"/>
              </w:rPr>
            </w:pPr>
            <w:r w:rsidRPr="008B720A">
              <w:rPr>
                <w:rFonts w:eastAsia="Verdana" w:cs="Arial"/>
                <w:color w:val="auto"/>
                <w:sz w:val="16"/>
                <w:szCs w:val="16"/>
                <w:lang w:eastAsia="da-DK"/>
              </w:rPr>
              <w:t>The Italian-resident shareholder must apply for a tax ruling claiming the non-application of the CFC rules. To this end, the Italian-resident taxpayer must give evidence that:</w:t>
            </w:r>
          </w:p>
          <w:p w:rsidR="00957719" w:rsidRPr="008B720A" w:rsidRDefault="00957719" w:rsidP="00E55975">
            <w:pPr>
              <w:numPr>
                <w:ilvl w:val="0"/>
                <w:numId w:val="32"/>
              </w:numPr>
              <w:shd w:val="clear" w:color="auto" w:fill="FFFFFF"/>
              <w:rPr>
                <w:rFonts w:eastAsia="Verdana" w:cs="Arial"/>
                <w:color w:val="auto"/>
                <w:sz w:val="16"/>
                <w:szCs w:val="16"/>
                <w:lang w:eastAsia="da-DK"/>
              </w:rPr>
            </w:pPr>
            <w:proofErr w:type="gramStart"/>
            <w:r w:rsidRPr="008B720A">
              <w:rPr>
                <w:rFonts w:eastAsia="Verdana" w:cs="Arial"/>
                <w:color w:val="auto"/>
                <w:sz w:val="16"/>
                <w:szCs w:val="16"/>
                <w:lang w:eastAsia="da-DK"/>
              </w:rPr>
              <w:t>the</w:t>
            </w:r>
            <w:proofErr w:type="gramEnd"/>
            <w:r w:rsidRPr="008B720A">
              <w:rPr>
                <w:rFonts w:eastAsia="Verdana" w:cs="Arial"/>
                <w:color w:val="auto"/>
                <w:sz w:val="16"/>
                <w:szCs w:val="16"/>
                <w:lang w:eastAsia="da-DK"/>
              </w:rPr>
              <w:t xml:space="preserve"> CFC predominantly carries out, as its main business purpose, an industrial or business activity within the local market, i.e. within the market of the country where the company is located. The non-resident company must be economically and socially integrated in this market, and the presence of a real business organi</w:t>
            </w:r>
            <w:r w:rsidR="00177168" w:rsidRPr="008B720A">
              <w:rPr>
                <w:rFonts w:eastAsia="Verdana" w:cs="Arial"/>
                <w:color w:val="auto"/>
                <w:sz w:val="16"/>
                <w:szCs w:val="16"/>
                <w:lang w:eastAsia="da-DK"/>
              </w:rPr>
              <w:t>s</w:t>
            </w:r>
            <w:r w:rsidRPr="008B720A">
              <w:rPr>
                <w:rFonts w:eastAsia="Verdana" w:cs="Arial"/>
                <w:color w:val="auto"/>
                <w:sz w:val="16"/>
                <w:szCs w:val="16"/>
                <w:lang w:eastAsia="da-DK"/>
              </w:rPr>
              <w:t>ation in such market is not enough (c. 51/E/2010). For banks, financial institutions and insurance companies, this evidence is deemed to be given if most of the funds, investments, and proceeds arise from the jurisdiction where these entities are located; or</w:t>
            </w:r>
          </w:p>
          <w:p w:rsidR="00123FF5" w:rsidRPr="008B720A" w:rsidRDefault="00957719" w:rsidP="00BA6A51">
            <w:pPr>
              <w:numPr>
                <w:ilvl w:val="0"/>
                <w:numId w:val="32"/>
              </w:numPr>
              <w:shd w:val="clear" w:color="auto" w:fill="FFFFFF"/>
              <w:jc w:val="left"/>
              <w:rPr>
                <w:rFonts w:eastAsia="Verdana" w:cs="Arial"/>
                <w:color w:val="auto"/>
                <w:sz w:val="16"/>
                <w:szCs w:val="16"/>
                <w:lang w:eastAsia="da-DK"/>
              </w:rPr>
            </w:pPr>
            <w:proofErr w:type="gramStart"/>
            <w:r w:rsidRPr="008B720A">
              <w:rPr>
                <w:rFonts w:eastAsia="Verdana" w:cs="Arial"/>
                <w:color w:val="auto"/>
                <w:sz w:val="16"/>
                <w:szCs w:val="16"/>
                <w:lang w:eastAsia="da-DK"/>
              </w:rPr>
              <w:t>the</w:t>
            </w:r>
            <w:proofErr w:type="gramEnd"/>
            <w:r w:rsidRPr="008B720A">
              <w:rPr>
                <w:rFonts w:eastAsia="Verdana" w:cs="Arial"/>
                <w:color w:val="auto"/>
                <w:sz w:val="16"/>
                <w:szCs w:val="16"/>
                <w:lang w:eastAsia="da-DK"/>
              </w:rPr>
              <w:t xml:space="preserve"> participation in the CFC does not achieve the result of shifting income to low-tax jurisdictions.</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Borders>
              <w:top w:val="single" w:sz="8" w:space="0" w:color="A7D3F5"/>
              <w:bottom w:val="single" w:sz="8" w:space="0" w:color="A7D3F5"/>
              <w:right w:val="single" w:sz="8" w:space="0" w:color="A7D3F5"/>
            </w:tcBorders>
            <w:shd w:val="clear" w:color="auto" w:fill="auto"/>
          </w:tcPr>
          <w:p w:rsidR="00123FF5" w:rsidRPr="008B720A" w:rsidRDefault="00C00F51" w:rsidP="00C00F51">
            <w:pPr>
              <w:rPr>
                <w:rFonts w:eastAsia="Verdana"/>
                <w:color w:val="auto"/>
                <w:sz w:val="16"/>
                <w:szCs w:val="16"/>
              </w:rPr>
            </w:pPr>
            <w:r w:rsidRPr="008B720A">
              <w:rPr>
                <w:rFonts w:eastAsia="Verdana"/>
                <w:color w:val="auto"/>
                <w:sz w:val="16"/>
                <w:szCs w:val="16"/>
              </w:rPr>
              <w:t xml:space="preserve">(1) Yes, if State B is a black-list country </w:t>
            </w:r>
            <w:r w:rsidR="00C53B4B" w:rsidRPr="008B720A">
              <w:rPr>
                <w:rFonts w:eastAsia="Verdana"/>
                <w:color w:val="auto"/>
                <w:sz w:val="16"/>
                <w:szCs w:val="16"/>
              </w:rPr>
              <w:t>or</w:t>
            </w:r>
            <w:r w:rsidRPr="008B720A">
              <w:rPr>
                <w:rFonts w:eastAsia="Verdana"/>
                <w:color w:val="auto"/>
                <w:sz w:val="16"/>
                <w:szCs w:val="16"/>
              </w:rPr>
              <w:t xml:space="preserve">, if not, whether the conditions described in n. 35 </w:t>
            </w:r>
            <w:proofErr w:type="gramStart"/>
            <w:r w:rsidRPr="008B720A">
              <w:rPr>
                <w:rFonts w:eastAsia="Verdana"/>
                <w:color w:val="auto"/>
                <w:sz w:val="16"/>
                <w:szCs w:val="16"/>
              </w:rPr>
              <w:t>are</w:t>
            </w:r>
            <w:proofErr w:type="gramEnd"/>
            <w:r w:rsidRPr="008B720A">
              <w:rPr>
                <w:rFonts w:eastAsia="Verdana"/>
                <w:color w:val="auto"/>
                <w:sz w:val="16"/>
                <w:szCs w:val="16"/>
              </w:rPr>
              <w:t xml:space="preserve"> met.</w:t>
            </w:r>
          </w:p>
          <w:p w:rsidR="00C00F51" w:rsidRPr="008B720A" w:rsidRDefault="00C00F51" w:rsidP="00C00F51">
            <w:pPr>
              <w:rPr>
                <w:rFonts w:eastAsia="Verdana"/>
                <w:color w:val="auto"/>
                <w:sz w:val="16"/>
                <w:szCs w:val="16"/>
              </w:rPr>
            </w:pPr>
            <w:r w:rsidRPr="008B720A">
              <w:rPr>
                <w:rFonts w:eastAsia="Verdana"/>
                <w:color w:val="auto"/>
                <w:sz w:val="16"/>
                <w:szCs w:val="16"/>
              </w:rPr>
              <w:t>(2) Yes, if State B is a black-list country of, if not, whether the conditions described n. 35 are met.</w:t>
            </w:r>
          </w:p>
          <w:p w:rsidR="00C00F51" w:rsidRPr="008B720A" w:rsidRDefault="00C00F51" w:rsidP="00C00F51">
            <w:pPr>
              <w:rPr>
                <w:rFonts w:eastAsia="Verdana"/>
                <w:color w:val="auto"/>
                <w:sz w:val="16"/>
                <w:szCs w:val="16"/>
              </w:rPr>
            </w:pPr>
            <w:r w:rsidRPr="008B720A">
              <w:rPr>
                <w:rFonts w:eastAsia="Verdana"/>
                <w:color w:val="auto"/>
                <w:sz w:val="16"/>
                <w:szCs w:val="16"/>
              </w:rPr>
              <w:t>(4) Yes, if the conditions described in n. 35 are met.</w:t>
            </w:r>
          </w:p>
          <w:p w:rsidR="00C00F51" w:rsidRPr="008B720A" w:rsidRDefault="00C00F51" w:rsidP="00C00F51">
            <w:pPr>
              <w:rPr>
                <w:rFonts w:eastAsia="Verdana"/>
                <w:color w:val="auto"/>
                <w:sz w:val="16"/>
                <w:szCs w:val="16"/>
              </w:rPr>
            </w:pPr>
            <w:r w:rsidRPr="008B720A">
              <w:rPr>
                <w:rFonts w:eastAsia="Verdana"/>
                <w:color w:val="auto"/>
                <w:sz w:val="16"/>
                <w:szCs w:val="16"/>
              </w:rPr>
              <w:t>(6) Yes, if State E is a black-list country of, if not, whether the conditions described n. 35 are met.</w:t>
            </w:r>
          </w:p>
        </w:tc>
      </w:tr>
      <w:tr w:rsidR="00123FF5" w:rsidRPr="008B720A" w:rsidTr="00BA6A51">
        <w:tc>
          <w:tcPr>
            <w:tcW w:w="9003" w:type="dxa"/>
            <w:gridSpan w:val="2"/>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Mismatch in qualification of legal entities</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Borders>
              <w:top w:val="single" w:sz="8" w:space="0" w:color="A7D3F5"/>
              <w:bottom w:val="single" w:sz="8" w:space="0" w:color="A7D3F5"/>
              <w:right w:val="single" w:sz="8" w:space="0" w:color="A7D3F5"/>
            </w:tcBorders>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No. Italy qualifies all foreign entities (irrespective from their legal form and tax treatment) as “opaque” for tax purposes. In this sense, B Hybrid cannot ever be qualified in Italy as a transparent entity and the described situation cannot be replicated.</w:t>
            </w:r>
          </w:p>
          <w:p w:rsidR="00123FF5" w:rsidRPr="008B720A" w:rsidRDefault="00805208" w:rsidP="00805208">
            <w:pPr>
              <w:rPr>
                <w:rFonts w:eastAsia="Verdana"/>
                <w:color w:val="auto"/>
                <w:sz w:val="16"/>
                <w:szCs w:val="16"/>
              </w:rPr>
            </w:pPr>
            <w:r w:rsidRPr="008B720A">
              <w:rPr>
                <w:rFonts w:eastAsia="Verdana"/>
                <w:color w:val="auto"/>
                <w:sz w:val="16"/>
                <w:szCs w:val="16"/>
              </w:rPr>
              <w:t xml:space="preserve">In the opposite situation, i.e. MS B qualifies B Hybrid as a transparent entity, Italy treats this transparent entity as “opaque” and </w:t>
            </w:r>
            <w:r w:rsidRPr="008B720A">
              <w:rPr>
                <w:rFonts w:eastAsia="Verdana"/>
                <w:color w:val="auto"/>
                <w:sz w:val="16"/>
                <w:szCs w:val="16"/>
              </w:rPr>
              <w:lastRenderedPageBreak/>
              <w:t>therefore, at least in principle, any mismatch is avoided.</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proofErr w:type="gramStart"/>
            <w:r w:rsidRPr="008B720A">
              <w:rPr>
                <w:rFonts w:eastAsia="Verdana"/>
                <w:bCs/>
                <w:sz w:val="16"/>
                <w:szCs w:val="16"/>
              </w:rPr>
              <w:lastRenderedPageBreak/>
              <w:t>Does</w:t>
            </w:r>
            <w:proofErr w:type="gramEnd"/>
            <w:r w:rsidRPr="008B720A">
              <w:rPr>
                <w:rFonts w:eastAsia="Verdana"/>
                <w:bCs/>
                <w:sz w:val="16"/>
                <w:szCs w:val="16"/>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shd w:val="clear" w:color="auto" w:fill="auto"/>
          </w:tcPr>
          <w:p w:rsidR="00123FF5" w:rsidRPr="008B720A" w:rsidRDefault="000E485F" w:rsidP="00123FF5">
            <w:pPr>
              <w:rPr>
                <w:rFonts w:eastAsia="Verdana"/>
                <w:color w:val="auto"/>
                <w:sz w:val="16"/>
                <w:szCs w:val="16"/>
              </w:rPr>
            </w:pPr>
            <w:r w:rsidRPr="008B720A">
              <w:rPr>
                <w:rFonts w:eastAsia="Verdana"/>
                <w:color w:val="auto"/>
                <w:sz w:val="16"/>
                <w:szCs w:val="16"/>
              </w:rPr>
              <w:t>No.</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Does your MS apply rules to counter another state’s mismatch in tax qualification of a transparent entity (partnership or similar) in your MS? If yes, please briefly explain the rules and their scope.</w:t>
            </w:r>
          </w:p>
        </w:tc>
        <w:tc>
          <w:tcPr>
            <w:tcW w:w="3933" w:type="dxa"/>
            <w:tcBorders>
              <w:top w:val="single" w:sz="8" w:space="0" w:color="A7D3F5"/>
              <w:bottom w:val="single" w:sz="8" w:space="0" w:color="A7D3F5"/>
              <w:right w:val="single" w:sz="8" w:space="0" w:color="A7D3F5"/>
            </w:tcBorders>
            <w:shd w:val="clear" w:color="auto" w:fill="auto"/>
          </w:tcPr>
          <w:p w:rsidR="00123FF5" w:rsidRDefault="000E485F" w:rsidP="00123FF5">
            <w:pPr>
              <w:rPr>
                <w:rFonts w:eastAsia="Verdana"/>
                <w:color w:val="auto"/>
                <w:sz w:val="16"/>
                <w:szCs w:val="16"/>
              </w:rPr>
            </w:pPr>
            <w:r w:rsidRPr="008B720A">
              <w:rPr>
                <w:rFonts w:eastAsia="Verdana"/>
                <w:color w:val="auto"/>
                <w:sz w:val="16"/>
                <w:szCs w:val="16"/>
              </w:rPr>
              <w:t>No.</w:t>
            </w:r>
          </w:p>
          <w:p w:rsidR="004A34E3" w:rsidRDefault="004A34E3" w:rsidP="00123FF5">
            <w:pPr>
              <w:rPr>
                <w:rFonts w:eastAsia="Verdana"/>
                <w:color w:val="auto"/>
                <w:sz w:val="16"/>
                <w:szCs w:val="16"/>
              </w:rPr>
            </w:pPr>
          </w:p>
          <w:p w:rsidR="004A34E3" w:rsidRPr="008B720A" w:rsidRDefault="008C52F8" w:rsidP="008C52F8">
            <w:pPr>
              <w:rPr>
                <w:rFonts w:eastAsia="Verdana"/>
                <w:color w:val="auto"/>
                <w:sz w:val="16"/>
                <w:szCs w:val="16"/>
              </w:rPr>
            </w:pPr>
            <w:r>
              <w:rPr>
                <w:rFonts w:eastAsia="Verdana"/>
                <w:color w:val="auto"/>
                <w:sz w:val="16"/>
                <w:szCs w:val="16"/>
              </w:rPr>
              <w:t>The Italian authorities have indicated that a</w:t>
            </w:r>
            <w:r w:rsidRPr="008C52F8">
              <w:rPr>
                <w:rFonts w:eastAsia="Verdana"/>
                <w:color w:val="auto"/>
                <w:sz w:val="16"/>
                <w:szCs w:val="16"/>
              </w:rPr>
              <w:t>ccording to the Italian Law, there is no alignment between the tax qualification of partnerships and other hybrid entities established in Italy and the qualification applied by the Member State in which the owners of entities are tax resident.</w:t>
            </w:r>
            <w:r>
              <w:rPr>
                <w:rFonts w:eastAsia="Verdana"/>
                <w:color w:val="auto"/>
                <w:sz w:val="16"/>
                <w:szCs w:val="16"/>
              </w:rPr>
              <w:t xml:space="preserve"> The</w:t>
            </w:r>
            <w:r w:rsidR="00DC2623">
              <w:rPr>
                <w:rFonts w:eastAsia="Verdana"/>
                <w:color w:val="auto"/>
                <w:sz w:val="16"/>
                <w:szCs w:val="16"/>
              </w:rPr>
              <w:t>y</w:t>
            </w:r>
            <w:r>
              <w:rPr>
                <w:rFonts w:eastAsia="Verdana"/>
                <w:color w:val="auto"/>
                <w:sz w:val="16"/>
                <w:szCs w:val="16"/>
              </w:rPr>
              <w:t xml:space="preserve"> add that, h</w:t>
            </w:r>
            <w:r w:rsidRPr="008C52F8">
              <w:rPr>
                <w:rFonts w:eastAsia="Verdana"/>
                <w:color w:val="auto"/>
                <w:sz w:val="16"/>
                <w:szCs w:val="16"/>
              </w:rPr>
              <w:t>owever, according to article 23, paragraph 1, letter g), of the Italian Direct Tax Code, in case of partnerships (or similar entities) resident in Italy and owners resident outside Italy, the latters are always subject to tax in Italy (on the basis of the source state principle) irrespective of the qualification applied by the MS in which the owners of entity are tax resident.</w:t>
            </w:r>
            <w:r>
              <w:rPr>
                <w:rFonts w:eastAsia="Verdana"/>
                <w:color w:val="auto"/>
                <w:sz w:val="16"/>
                <w:szCs w:val="16"/>
              </w:rPr>
              <w:t xml:space="preserve"> Hence the Italian authorities state that e</w:t>
            </w:r>
            <w:r w:rsidRPr="008C52F8">
              <w:rPr>
                <w:rFonts w:eastAsia="Verdana"/>
                <w:color w:val="auto"/>
                <w:sz w:val="16"/>
                <w:szCs w:val="16"/>
              </w:rPr>
              <w:t>ven if in principle the mentioned article 23 is not a provision aiming at countering another State’s mismatch in tax qualification of an Italian transparent entity, in practice it makes it possible to avoid any such mismatch.</w:t>
            </w:r>
          </w:p>
        </w:tc>
      </w:tr>
      <w:tr w:rsidR="00123FF5" w:rsidRPr="008B720A" w:rsidTr="00BA6A51">
        <w:tc>
          <w:tcPr>
            <w:tcW w:w="9003" w:type="dxa"/>
            <w:gridSpan w:val="2"/>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Tax residence of company</w:t>
            </w: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Borders>
              <w:top w:val="single" w:sz="8" w:space="0" w:color="A7D3F5"/>
              <w:bottom w:val="single" w:sz="8" w:space="0" w:color="A7D3F5"/>
              <w:right w:val="single" w:sz="8" w:space="0" w:color="A7D3F5"/>
            </w:tcBorders>
            <w:shd w:val="clear" w:color="auto" w:fill="auto"/>
          </w:tcPr>
          <w:p w:rsidR="00D531A9" w:rsidRPr="008B720A" w:rsidRDefault="00D531A9" w:rsidP="00D531A9">
            <w:pPr>
              <w:rPr>
                <w:rFonts w:eastAsia="Verdana"/>
                <w:color w:val="auto"/>
                <w:sz w:val="16"/>
                <w:szCs w:val="16"/>
              </w:rPr>
            </w:pPr>
            <w:r w:rsidRPr="008B720A">
              <w:rPr>
                <w:rFonts w:eastAsia="Verdana"/>
                <w:color w:val="auto"/>
                <w:sz w:val="16"/>
                <w:szCs w:val="16"/>
              </w:rPr>
              <w:t>According to Article 73(3) ITA, a company is resident if it has in Italy (alternatively):</w:t>
            </w:r>
          </w:p>
          <w:p w:rsidR="00D531A9" w:rsidRPr="008B720A" w:rsidRDefault="00D531A9" w:rsidP="00D531A9">
            <w:pPr>
              <w:numPr>
                <w:ilvl w:val="0"/>
                <w:numId w:val="38"/>
              </w:numPr>
              <w:rPr>
                <w:rFonts w:eastAsia="Verdana"/>
                <w:color w:val="auto"/>
                <w:sz w:val="16"/>
                <w:szCs w:val="16"/>
              </w:rPr>
            </w:pPr>
            <w:r w:rsidRPr="008B720A">
              <w:rPr>
                <w:rFonts w:eastAsia="Verdana"/>
                <w:color w:val="auto"/>
                <w:sz w:val="16"/>
                <w:szCs w:val="16"/>
              </w:rPr>
              <w:t>Its legal seat;</w:t>
            </w:r>
          </w:p>
          <w:p w:rsidR="00D531A9" w:rsidRPr="008B720A" w:rsidRDefault="00D531A9" w:rsidP="00D531A9">
            <w:pPr>
              <w:numPr>
                <w:ilvl w:val="0"/>
                <w:numId w:val="38"/>
              </w:numPr>
              <w:rPr>
                <w:rFonts w:eastAsia="Verdana"/>
                <w:color w:val="auto"/>
                <w:sz w:val="16"/>
                <w:szCs w:val="16"/>
              </w:rPr>
            </w:pPr>
            <w:r w:rsidRPr="008B720A">
              <w:rPr>
                <w:rFonts w:eastAsia="Verdana"/>
                <w:color w:val="auto"/>
                <w:sz w:val="16"/>
                <w:szCs w:val="16"/>
              </w:rPr>
              <w:t>Its place of management;</w:t>
            </w:r>
          </w:p>
          <w:p w:rsidR="00D531A9" w:rsidRPr="008B720A" w:rsidRDefault="00D531A9" w:rsidP="00D531A9">
            <w:pPr>
              <w:numPr>
                <w:ilvl w:val="0"/>
                <w:numId w:val="38"/>
              </w:numPr>
              <w:rPr>
                <w:rFonts w:eastAsia="Verdana"/>
                <w:color w:val="auto"/>
                <w:sz w:val="16"/>
                <w:szCs w:val="16"/>
              </w:rPr>
            </w:pPr>
            <w:r w:rsidRPr="008B720A">
              <w:rPr>
                <w:rFonts w:eastAsia="Verdana"/>
                <w:color w:val="auto"/>
                <w:sz w:val="16"/>
                <w:szCs w:val="16"/>
              </w:rPr>
              <w:t>Its main object of activity</w:t>
            </w:r>
          </w:p>
          <w:p w:rsidR="00D531A9" w:rsidRPr="008B720A" w:rsidRDefault="00D531A9" w:rsidP="00D531A9">
            <w:pPr>
              <w:rPr>
                <w:rFonts w:eastAsia="Verdana"/>
                <w:color w:val="auto"/>
                <w:sz w:val="16"/>
                <w:szCs w:val="16"/>
              </w:rPr>
            </w:pPr>
            <w:proofErr w:type="gramStart"/>
            <w:r w:rsidRPr="008B720A">
              <w:rPr>
                <w:rFonts w:eastAsia="Verdana"/>
                <w:color w:val="auto"/>
                <w:sz w:val="16"/>
                <w:szCs w:val="16"/>
              </w:rPr>
              <w:t>for</w:t>
            </w:r>
            <w:proofErr w:type="gramEnd"/>
            <w:r w:rsidRPr="008B720A">
              <w:rPr>
                <w:rFonts w:eastAsia="Verdana"/>
                <w:color w:val="auto"/>
                <w:sz w:val="16"/>
                <w:szCs w:val="16"/>
              </w:rPr>
              <w:t xml:space="preserve"> the major part of the year.</w:t>
            </w:r>
          </w:p>
          <w:p w:rsidR="00D531A9" w:rsidRPr="008B720A" w:rsidRDefault="0053727F" w:rsidP="00D531A9">
            <w:pPr>
              <w:rPr>
                <w:rFonts w:eastAsia="Verdana"/>
                <w:color w:val="auto"/>
                <w:sz w:val="16"/>
                <w:szCs w:val="16"/>
              </w:rPr>
            </w:pPr>
            <w:r w:rsidRPr="008B720A">
              <w:rPr>
                <w:rFonts w:eastAsia="Verdana"/>
                <w:color w:val="auto"/>
                <w:sz w:val="16"/>
                <w:szCs w:val="16"/>
              </w:rPr>
              <w:t>Therefore, a</w:t>
            </w:r>
            <w:r w:rsidR="00D531A9" w:rsidRPr="008B720A">
              <w:rPr>
                <w:rFonts w:eastAsia="Verdana"/>
                <w:color w:val="auto"/>
                <w:sz w:val="16"/>
                <w:szCs w:val="16"/>
              </w:rPr>
              <w:t xml:space="preserve"> company incorporated in Italy must (necessarily) have the legal seat in Italy (and therefore </w:t>
            </w:r>
            <w:r w:rsidRPr="008B720A">
              <w:rPr>
                <w:rFonts w:eastAsia="Verdana"/>
                <w:color w:val="auto"/>
                <w:sz w:val="16"/>
                <w:szCs w:val="16"/>
              </w:rPr>
              <w:t xml:space="preserve">be </w:t>
            </w:r>
            <w:r w:rsidR="00D531A9" w:rsidRPr="008B720A">
              <w:rPr>
                <w:rFonts w:eastAsia="Verdana"/>
                <w:color w:val="auto"/>
                <w:sz w:val="16"/>
                <w:szCs w:val="16"/>
              </w:rPr>
              <w:t>resident for tax purpose in Italy).</w:t>
            </w:r>
          </w:p>
          <w:p w:rsidR="00D531A9" w:rsidRPr="008B720A" w:rsidRDefault="008D0808" w:rsidP="00D531A9">
            <w:pPr>
              <w:rPr>
                <w:rFonts w:eastAsia="Verdana"/>
                <w:color w:val="auto"/>
                <w:sz w:val="16"/>
                <w:szCs w:val="16"/>
              </w:rPr>
            </w:pPr>
            <w:r w:rsidRPr="008B720A">
              <w:rPr>
                <w:rFonts w:eastAsia="Verdana"/>
                <w:color w:val="auto"/>
                <w:sz w:val="16"/>
                <w:szCs w:val="16"/>
              </w:rPr>
              <w:t xml:space="preserve">On this </w:t>
            </w:r>
            <w:r w:rsidR="004521B7" w:rsidRPr="008B720A">
              <w:rPr>
                <w:rFonts w:eastAsia="Verdana"/>
                <w:color w:val="auto"/>
                <w:sz w:val="16"/>
                <w:szCs w:val="16"/>
              </w:rPr>
              <w:t xml:space="preserve">issue </w:t>
            </w:r>
            <w:r w:rsidRPr="008B720A">
              <w:rPr>
                <w:rFonts w:eastAsia="Verdana"/>
                <w:color w:val="auto"/>
                <w:sz w:val="16"/>
                <w:szCs w:val="16"/>
              </w:rPr>
              <w:t>see also answer 41.</w:t>
            </w:r>
          </w:p>
          <w:p w:rsidR="00774ED2" w:rsidRPr="008B720A" w:rsidRDefault="00774ED2" w:rsidP="0053727F">
            <w:pPr>
              <w:rPr>
                <w:rFonts w:eastAsia="Verdana"/>
                <w:color w:val="auto"/>
                <w:sz w:val="16"/>
                <w:szCs w:val="16"/>
              </w:rPr>
            </w:pP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If yes to 40, please consider Model ATP-Structure no. 6. Would the Structure work if Company B1 is incorporated in your MS but managed and controlled abroad in an offshore-state?</w:t>
            </w:r>
          </w:p>
        </w:tc>
        <w:tc>
          <w:tcPr>
            <w:tcW w:w="3933" w:type="dxa"/>
            <w:shd w:val="clear" w:color="auto" w:fill="auto"/>
          </w:tcPr>
          <w:p w:rsidR="00123FF5" w:rsidRPr="008B720A" w:rsidRDefault="00E260CF" w:rsidP="00123FF5">
            <w:pPr>
              <w:rPr>
                <w:rFonts w:eastAsia="Verdana"/>
                <w:color w:val="auto"/>
                <w:sz w:val="16"/>
                <w:szCs w:val="16"/>
              </w:rPr>
            </w:pPr>
            <w:r w:rsidRPr="008B720A">
              <w:rPr>
                <w:rFonts w:eastAsia="Verdana"/>
                <w:color w:val="auto"/>
                <w:sz w:val="16"/>
                <w:szCs w:val="16"/>
              </w:rPr>
              <w:t>If Company B1, incorporated in Italy, transfers the legal seat in State E, then the Structure can work.</w:t>
            </w:r>
          </w:p>
          <w:p w:rsidR="00E260CF" w:rsidRPr="008B720A" w:rsidRDefault="00E260CF" w:rsidP="00123FF5">
            <w:pPr>
              <w:rPr>
                <w:rFonts w:eastAsia="Verdana"/>
                <w:color w:val="auto"/>
                <w:sz w:val="16"/>
                <w:szCs w:val="16"/>
              </w:rPr>
            </w:pPr>
            <w:r w:rsidRPr="008B720A">
              <w:rPr>
                <w:rFonts w:eastAsia="Verdana"/>
                <w:color w:val="auto"/>
                <w:sz w:val="16"/>
                <w:szCs w:val="16"/>
              </w:rPr>
              <w:t>In addition, Company B1 must not have its main object of activity in Italy.</w:t>
            </w:r>
          </w:p>
        </w:tc>
      </w:tr>
      <w:tr w:rsidR="00123FF5" w:rsidRPr="008B720A" w:rsidTr="00BA6A51">
        <w:tc>
          <w:tcPr>
            <w:tcW w:w="9003" w:type="dxa"/>
            <w:gridSpan w:val="2"/>
            <w:tcBorders>
              <w:top w:val="single" w:sz="8" w:space="0" w:color="A7D3F5"/>
              <w:bottom w:val="single" w:sz="8" w:space="0" w:color="A7D3F5"/>
            </w:tcBorders>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Tax ruling practices</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8B720A">
              <w:rPr>
                <w:rFonts w:eastAsia="Verdana"/>
                <w:bCs/>
                <w:sz w:val="16"/>
                <w:szCs w:val="16"/>
              </w:rPr>
              <w:t>Does</w:t>
            </w:r>
            <w:proofErr w:type="gramEnd"/>
            <w:r w:rsidRPr="008B720A">
              <w:rPr>
                <w:rFonts w:eastAsia="Verdana"/>
                <w:bCs/>
                <w:sz w:val="16"/>
                <w:szCs w:val="16"/>
              </w:rPr>
              <w:t xml:space="preserve"> your MS offer this form of tax ruling practices or APAs?</w:t>
            </w:r>
          </w:p>
        </w:tc>
        <w:tc>
          <w:tcPr>
            <w:tcW w:w="3933" w:type="dxa"/>
            <w:shd w:val="clear" w:color="auto" w:fill="auto"/>
          </w:tcPr>
          <w:p w:rsidR="00123FF5" w:rsidRDefault="008F553C" w:rsidP="008F553C">
            <w:pPr>
              <w:rPr>
                <w:rFonts w:eastAsia="Verdana"/>
                <w:color w:val="auto"/>
                <w:sz w:val="16"/>
                <w:szCs w:val="16"/>
              </w:rPr>
            </w:pPr>
            <w:r w:rsidRPr="008B720A">
              <w:rPr>
                <w:rFonts w:eastAsia="Verdana"/>
                <w:color w:val="auto"/>
                <w:sz w:val="16"/>
                <w:szCs w:val="16"/>
              </w:rPr>
              <w:t>Yes. Article 8 of the Law Decree n. 269 of 2003 provides that enterprises carrying out “international activity” may apply for APA with regard to transfer pricing, interest, dividends and royalties.</w:t>
            </w:r>
          </w:p>
          <w:p w:rsidR="008A580C" w:rsidRDefault="008A580C" w:rsidP="008F553C">
            <w:pPr>
              <w:rPr>
                <w:rFonts w:eastAsia="Verdana"/>
                <w:color w:val="auto"/>
                <w:sz w:val="16"/>
                <w:szCs w:val="16"/>
              </w:rPr>
            </w:pPr>
          </w:p>
          <w:p w:rsidR="008A580C" w:rsidRDefault="008A580C" w:rsidP="008A580C">
            <w:pPr>
              <w:rPr>
                <w:rFonts w:eastAsia="Verdana"/>
                <w:color w:val="auto"/>
                <w:sz w:val="16"/>
                <w:szCs w:val="16"/>
              </w:rPr>
            </w:pPr>
            <w:r>
              <w:rPr>
                <w:rFonts w:eastAsia="Verdana"/>
                <w:color w:val="auto"/>
                <w:sz w:val="16"/>
                <w:szCs w:val="16"/>
              </w:rPr>
              <w:t>The Italian authorities have stated the opinion that the answer to this question should have been 'no' because it specifically</w:t>
            </w:r>
            <w:r w:rsidRPr="008A580C">
              <w:rPr>
                <w:rFonts w:eastAsia="Verdana"/>
                <w:color w:val="auto"/>
                <w:sz w:val="16"/>
                <w:szCs w:val="16"/>
              </w:rPr>
              <w:t xml:space="preserve"> refers to unilateral rulings on interest or royalty spread and, in particular, to unilateral rulings used to “confirm an artificial flow through arrangement of interest or royalty and to agree what spread will satisfy the local tax authorities so that they abstain from challenging, for example, the arm’s length … character of the arrangements”.</w:t>
            </w:r>
          </w:p>
          <w:p w:rsidR="00516AC5" w:rsidRPr="008A580C" w:rsidRDefault="00516AC5" w:rsidP="008A580C">
            <w:pPr>
              <w:rPr>
                <w:rFonts w:eastAsia="Verdana"/>
                <w:color w:val="auto"/>
                <w:sz w:val="16"/>
                <w:szCs w:val="16"/>
              </w:rPr>
            </w:pPr>
          </w:p>
          <w:p w:rsidR="008A580C" w:rsidRDefault="008A580C" w:rsidP="008A580C">
            <w:pPr>
              <w:rPr>
                <w:rFonts w:eastAsia="Verdana"/>
                <w:color w:val="auto"/>
                <w:sz w:val="16"/>
                <w:szCs w:val="16"/>
              </w:rPr>
            </w:pPr>
            <w:r>
              <w:rPr>
                <w:rFonts w:eastAsia="Verdana"/>
                <w:color w:val="auto"/>
                <w:sz w:val="16"/>
                <w:szCs w:val="16"/>
              </w:rPr>
              <w:t>They have</w:t>
            </w:r>
            <w:r w:rsidRPr="008A580C">
              <w:rPr>
                <w:rFonts w:eastAsia="Verdana"/>
                <w:color w:val="auto"/>
                <w:sz w:val="16"/>
                <w:szCs w:val="16"/>
              </w:rPr>
              <w:t xml:space="preserve"> highlight</w:t>
            </w:r>
            <w:r>
              <w:rPr>
                <w:rFonts w:eastAsia="Verdana"/>
                <w:color w:val="auto"/>
                <w:sz w:val="16"/>
                <w:szCs w:val="16"/>
              </w:rPr>
              <w:t>ed</w:t>
            </w:r>
            <w:r w:rsidRPr="008A580C">
              <w:rPr>
                <w:rFonts w:eastAsia="Verdana"/>
                <w:color w:val="auto"/>
                <w:sz w:val="16"/>
                <w:szCs w:val="16"/>
              </w:rPr>
              <w:t xml:space="preserve"> that in no case Italy </w:t>
            </w:r>
            <w:r w:rsidRPr="008A580C">
              <w:rPr>
                <w:rFonts w:eastAsia="Verdana"/>
                <w:color w:val="auto"/>
                <w:sz w:val="16"/>
                <w:szCs w:val="16"/>
              </w:rPr>
              <w:lastRenderedPageBreak/>
              <w:t>‘offers’ tax rulings that “confirm non arm’s length transactions” or “confirm the amount of spread between interest or royalty income and cost in flow through structures” or “agree what spread will satisfy the local tax authorities”. In fact, according to article 8 of the Law Decree n. 269 of 2003 (recently abrogated by article 1, paragraph 1, of the Legislative Decree n. 147 of 2015), the Italian tax authority only stipulates APAs – on request by the taxpayers - grounded on the arm’s length principle, as developed in the OECD Guidelines.</w:t>
            </w:r>
          </w:p>
          <w:p w:rsidR="00516AC5" w:rsidRDefault="00516AC5" w:rsidP="008A580C">
            <w:pPr>
              <w:rPr>
                <w:rFonts w:eastAsia="Verdana"/>
                <w:color w:val="auto"/>
                <w:sz w:val="16"/>
                <w:szCs w:val="16"/>
              </w:rPr>
            </w:pPr>
          </w:p>
          <w:p w:rsidR="00516AC5" w:rsidRDefault="00516AC5" w:rsidP="008A580C">
            <w:pPr>
              <w:rPr>
                <w:rFonts w:eastAsia="Verdana"/>
                <w:color w:val="auto"/>
                <w:sz w:val="16"/>
                <w:szCs w:val="16"/>
              </w:rPr>
            </w:pPr>
            <w:r>
              <w:rPr>
                <w:rFonts w:eastAsia="Verdana"/>
                <w:color w:val="auto"/>
                <w:sz w:val="16"/>
                <w:szCs w:val="16"/>
              </w:rPr>
              <w:t>As this resulted in a conflict with the initial assessment, the NTE was asked to consider his assessment in light of the explanations provided by the Italian Authorities. The response was:</w:t>
            </w:r>
          </w:p>
          <w:p w:rsidR="00516AC5" w:rsidRDefault="00516AC5" w:rsidP="008A580C">
            <w:pPr>
              <w:rPr>
                <w:rFonts w:eastAsia="Verdana"/>
                <w:color w:val="auto"/>
                <w:sz w:val="16"/>
                <w:szCs w:val="16"/>
              </w:rPr>
            </w:pPr>
          </w:p>
          <w:p w:rsidR="00516AC5" w:rsidRPr="000F4447" w:rsidRDefault="00516AC5" w:rsidP="00516AC5">
            <w:pPr>
              <w:rPr>
                <w:rFonts w:eastAsia="Verdana"/>
                <w:i/>
                <w:color w:val="auto"/>
                <w:sz w:val="16"/>
                <w:szCs w:val="16"/>
              </w:rPr>
            </w:pPr>
            <w:r w:rsidRPr="000F4447">
              <w:rPr>
                <w:rFonts w:eastAsia="Verdana"/>
                <w:i/>
                <w:color w:val="auto"/>
                <w:sz w:val="16"/>
                <w:szCs w:val="16"/>
              </w:rPr>
              <w:t>The aim of Article 8 of the Law Decree n. 269 of 2003 was to find an agreement, between the parts, on the method applicable in order to give the proper value to non-</w:t>
            </w:r>
            <w:r w:rsidR="000F4447" w:rsidRPr="000F4447">
              <w:rPr>
                <w:rFonts w:eastAsia="Verdana"/>
                <w:i/>
                <w:color w:val="auto"/>
                <w:sz w:val="16"/>
                <w:szCs w:val="16"/>
              </w:rPr>
              <w:t>independent</w:t>
            </w:r>
            <w:r w:rsidRPr="000F4447">
              <w:rPr>
                <w:rFonts w:eastAsia="Verdana"/>
                <w:i/>
                <w:color w:val="auto"/>
                <w:sz w:val="16"/>
                <w:szCs w:val="16"/>
              </w:rPr>
              <w:t xml:space="preserve"> transactions. This agreement bound for five years the Taxpayer and the Tax Administration. The bas</w:t>
            </w:r>
            <w:r w:rsidR="000F4447" w:rsidRPr="000F4447">
              <w:rPr>
                <w:rFonts w:eastAsia="Verdana"/>
                <w:i/>
                <w:color w:val="auto"/>
                <w:sz w:val="16"/>
                <w:szCs w:val="16"/>
              </w:rPr>
              <w:t>is</w:t>
            </w:r>
            <w:r w:rsidRPr="000F4447">
              <w:rPr>
                <w:rFonts w:eastAsia="Verdana"/>
                <w:i/>
                <w:color w:val="auto"/>
                <w:sz w:val="16"/>
                <w:szCs w:val="16"/>
              </w:rPr>
              <w:t xml:space="preserve"> of the negotiation was the OECD Guidelines TP.</w:t>
            </w:r>
          </w:p>
          <w:p w:rsidR="00516AC5" w:rsidRPr="000F4447" w:rsidRDefault="00516AC5" w:rsidP="00516AC5">
            <w:pPr>
              <w:rPr>
                <w:rFonts w:eastAsia="Verdana"/>
                <w:i/>
                <w:color w:val="auto"/>
                <w:sz w:val="16"/>
                <w:szCs w:val="16"/>
              </w:rPr>
            </w:pPr>
          </w:p>
          <w:p w:rsidR="00516AC5" w:rsidRPr="000F4447" w:rsidRDefault="00516AC5" w:rsidP="00516AC5">
            <w:pPr>
              <w:rPr>
                <w:rFonts w:eastAsia="Verdana"/>
                <w:i/>
                <w:color w:val="auto"/>
                <w:sz w:val="16"/>
                <w:szCs w:val="16"/>
              </w:rPr>
            </w:pPr>
            <w:r w:rsidRPr="000F4447">
              <w:rPr>
                <w:rFonts w:eastAsia="Verdana"/>
                <w:i/>
                <w:color w:val="auto"/>
                <w:sz w:val="16"/>
                <w:szCs w:val="16"/>
              </w:rPr>
              <w:t xml:space="preserve">In this sense, the subject of the agreement was the method, not the value of the transaction, which was the result of the application of the agreement. This result would also have been, in rare cases, at non-arms’ length, but as a result - for example - of the choice of the </w:t>
            </w:r>
            <w:r w:rsidR="000F4447" w:rsidRPr="000F4447">
              <w:rPr>
                <w:rFonts w:eastAsia="Verdana"/>
                <w:i/>
                <w:color w:val="auto"/>
                <w:sz w:val="16"/>
                <w:szCs w:val="16"/>
              </w:rPr>
              <w:t>comparable</w:t>
            </w:r>
            <w:r w:rsidRPr="000F4447">
              <w:rPr>
                <w:rFonts w:eastAsia="Verdana"/>
                <w:i/>
                <w:color w:val="auto"/>
                <w:sz w:val="16"/>
                <w:szCs w:val="16"/>
              </w:rPr>
              <w:t>.</w:t>
            </w:r>
          </w:p>
          <w:p w:rsidR="00516AC5" w:rsidRPr="00516AC5" w:rsidRDefault="00516AC5" w:rsidP="00516AC5">
            <w:pPr>
              <w:rPr>
                <w:rFonts w:eastAsia="Verdana"/>
                <w:color w:val="auto"/>
                <w:sz w:val="16"/>
                <w:szCs w:val="16"/>
              </w:rPr>
            </w:pPr>
          </w:p>
          <w:p w:rsidR="00516AC5" w:rsidRDefault="00516AC5" w:rsidP="00516AC5">
            <w:pPr>
              <w:rPr>
                <w:rFonts w:eastAsia="Verdana"/>
                <w:i/>
                <w:color w:val="auto"/>
                <w:sz w:val="16"/>
                <w:szCs w:val="16"/>
              </w:rPr>
            </w:pPr>
            <w:r w:rsidRPr="000F4447">
              <w:rPr>
                <w:rFonts w:eastAsia="Verdana"/>
                <w:i/>
                <w:color w:val="auto"/>
                <w:sz w:val="16"/>
                <w:szCs w:val="16"/>
              </w:rPr>
              <w:t>The provision, as mentioned in the document, has been abolished by the Legislative Decree n. 147 of 2015.</w:t>
            </w:r>
          </w:p>
          <w:p w:rsidR="000F4447" w:rsidRDefault="000F4447" w:rsidP="00516AC5">
            <w:pPr>
              <w:rPr>
                <w:rFonts w:eastAsia="Verdana"/>
                <w:i/>
                <w:color w:val="auto"/>
                <w:sz w:val="16"/>
                <w:szCs w:val="16"/>
              </w:rPr>
            </w:pPr>
          </w:p>
          <w:p w:rsidR="000F4447" w:rsidRPr="000F4447" w:rsidRDefault="000F4447" w:rsidP="00516AC5">
            <w:pPr>
              <w:rPr>
                <w:rFonts w:eastAsia="Verdana"/>
                <w:color w:val="auto"/>
                <w:sz w:val="16"/>
                <w:szCs w:val="16"/>
              </w:rPr>
            </w:pPr>
            <w:r>
              <w:rPr>
                <w:rFonts w:eastAsia="Verdana"/>
                <w:color w:val="auto"/>
                <w:sz w:val="16"/>
                <w:szCs w:val="16"/>
              </w:rPr>
              <w:t>As a result of this exchange, the authors of this report decided to maintain the original assessment of this question.</w:t>
            </w:r>
            <w:bookmarkStart w:id="0" w:name="_GoBack"/>
            <w:bookmarkEnd w:id="0"/>
          </w:p>
          <w:p w:rsidR="00516AC5" w:rsidRPr="008B720A" w:rsidRDefault="00516AC5" w:rsidP="008A580C">
            <w:pPr>
              <w:rPr>
                <w:rFonts w:eastAsia="Verdana"/>
                <w:color w:val="auto"/>
                <w:sz w:val="16"/>
                <w:szCs w:val="16"/>
              </w:rPr>
            </w:pPr>
          </w:p>
        </w:tc>
      </w:tr>
      <w:tr w:rsidR="00123FF5" w:rsidRPr="008B720A" w:rsidTr="00BA6A51">
        <w:tc>
          <w:tcPr>
            <w:tcW w:w="5070" w:type="dxa"/>
            <w:tcBorders>
              <w:top w:val="single" w:sz="8" w:space="0" w:color="A7D3F5"/>
              <w:left w:val="single" w:sz="8" w:space="0" w:color="A7D3F5"/>
              <w:bottom w:val="single" w:sz="8" w:space="0" w:color="A7D3F5"/>
            </w:tcBorders>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lastRenderedPageBreak/>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Borders>
              <w:top w:val="single" w:sz="8" w:space="0" w:color="A7D3F5"/>
              <w:bottom w:val="single" w:sz="8" w:space="0" w:color="A7D3F5"/>
              <w:right w:val="single" w:sz="8" w:space="0" w:color="A7D3F5"/>
            </w:tcBorders>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Italian transfer pricing rules are grounded on the arm’s length principles, as developed in the OECD Guidelines.</w:t>
            </w:r>
          </w:p>
          <w:p w:rsidR="00123FF5" w:rsidRPr="008B720A" w:rsidRDefault="00123FF5" w:rsidP="006E62AF">
            <w:pPr>
              <w:rPr>
                <w:rFonts w:eastAsia="Verdana"/>
                <w:color w:val="auto"/>
                <w:sz w:val="16"/>
                <w:szCs w:val="16"/>
              </w:rPr>
            </w:pP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sz w:val="16"/>
                <w:szCs w:val="16"/>
              </w:rPr>
            </w:pPr>
            <w:r w:rsidRPr="008B720A">
              <w:rPr>
                <w:rFonts w:eastAsia="Verdana"/>
                <w:bCs/>
                <w:sz w:val="16"/>
                <w:szCs w:val="16"/>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rsidR="00123FF5" w:rsidRPr="008B720A" w:rsidRDefault="00123FF5" w:rsidP="00BA6A51">
            <w:pPr>
              <w:pStyle w:val="ListNumber"/>
              <w:numPr>
                <w:ilvl w:val="0"/>
                <w:numId w:val="0"/>
              </w:numPr>
              <w:ind w:left="340"/>
              <w:jc w:val="left"/>
              <w:rPr>
                <w:rFonts w:eastAsia="Verdana"/>
                <w:b/>
                <w:bCs/>
                <w:sz w:val="16"/>
                <w:szCs w:val="16"/>
              </w:rPr>
            </w:pPr>
          </w:p>
        </w:tc>
        <w:tc>
          <w:tcPr>
            <w:tcW w:w="3933" w:type="dxa"/>
            <w:shd w:val="clear" w:color="auto" w:fill="auto"/>
          </w:tcPr>
          <w:p w:rsidR="00123FF5" w:rsidRPr="008B720A" w:rsidRDefault="006E62AF" w:rsidP="006E62AF">
            <w:pPr>
              <w:rPr>
                <w:rFonts w:eastAsia="Verdana"/>
                <w:color w:val="auto"/>
                <w:sz w:val="16"/>
                <w:szCs w:val="16"/>
              </w:rPr>
            </w:pPr>
            <w:r w:rsidRPr="008B720A">
              <w:rPr>
                <w:rFonts w:eastAsia="Verdana"/>
                <w:color w:val="auto"/>
                <w:sz w:val="16"/>
                <w:szCs w:val="16"/>
              </w:rPr>
              <w:t xml:space="preserve">No. </w:t>
            </w:r>
            <w:proofErr w:type="gramStart"/>
            <w:r w:rsidRPr="008B720A">
              <w:rPr>
                <w:rFonts w:eastAsia="Verdana"/>
                <w:color w:val="auto"/>
                <w:sz w:val="16"/>
                <w:szCs w:val="16"/>
              </w:rPr>
              <w:t>APAs aims</w:t>
            </w:r>
            <w:proofErr w:type="gramEnd"/>
            <w:r w:rsidRPr="008B720A">
              <w:rPr>
                <w:rFonts w:eastAsia="Verdana"/>
                <w:color w:val="auto"/>
                <w:sz w:val="16"/>
                <w:szCs w:val="16"/>
              </w:rPr>
              <w:t xml:space="preserve"> at addressing the arm’s length value of transactions. The issue is clearly stated in the II Bulletin on the APA (p. 5) where the tax administration stresses that Article 9 DTC shall prevail over the internal rule. APA cannot grant exemptions unless tax treatment of dividends or similar income (also according with DTCs) is at a stake. Management fees (deemed expenses) can be also assessed under the APA.</w:t>
            </w:r>
          </w:p>
        </w:tc>
      </w:tr>
      <w:tr w:rsidR="00123FF5" w:rsidRPr="008B720A" w:rsidTr="00BA6A51">
        <w:tc>
          <w:tcPr>
            <w:tcW w:w="9003" w:type="dxa"/>
            <w:gridSpan w:val="2"/>
            <w:tcBorders>
              <w:top w:val="single" w:sz="8" w:space="0" w:color="A7D3F5"/>
              <w:bottom w:val="single" w:sz="8" w:space="0" w:color="A7D3F5"/>
            </w:tcBorders>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t>GAAR/SAAR</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shd w:val="clear" w:color="auto" w:fill="auto"/>
          </w:tcPr>
          <w:p w:rsidR="00123FF5" w:rsidRPr="008B720A" w:rsidRDefault="00584A41" w:rsidP="00123FF5">
            <w:pPr>
              <w:rPr>
                <w:rFonts w:eastAsia="Verdana"/>
                <w:color w:val="auto"/>
                <w:sz w:val="16"/>
                <w:szCs w:val="16"/>
              </w:rPr>
            </w:pPr>
            <w:r w:rsidRPr="008B720A">
              <w:rPr>
                <w:rFonts w:eastAsia="Verdana"/>
                <w:color w:val="auto"/>
                <w:sz w:val="16"/>
                <w:szCs w:val="16"/>
              </w:rPr>
              <w:t xml:space="preserve">The described Structures </w:t>
            </w:r>
            <w:r w:rsidR="00013D71" w:rsidRPr="008B720A">
              <w:rPr>
                <w:rFonts w:eastAsia="Verdana"/>
                <w:color w:val="auto"/>
                <w:sz w:val="16"/>
                <w:szCs w:val="16"/>
              </w:rPr>
              <w:t>may</w:t>
            </w:r>
            <w:r w:rsidRPr="008B720A">
              <w:rPr>
                <w:rFonts w:eastAsia="Verdana"/>
                <w:color w:val="auto"/>
                <w:sz w:val="16"/>
                <w:szCs w:val="16"/>
              </w:rPr>
              <w:t xml:space="preserve"> fall within the SAAR and GAAR.</w:t>
            </w:r>
          </w:p>
          <w:p w:rsidR="00584A41" w:rsidRPr="008B720A" w:rsidRDefault="00584A41" w:rsidP="00123FF5">
            <w:pPr>
              <w:rPr>
                <w:rFonts w:eastAsia="Verdana"/>
                <w:color w:val="auto"/>
                <w:sz w:val="16"/>
                <w:szCs w:val="16"/>
              </w:rPr>
            </w:pPr>
            <w:r w:rsidRPr="008B720A">
              <w:rPr>
                <w:rFonts w:eastAsia="Verdana"/>
                <w:color w:val="auto"/>
                <w:sz w:val="16"/>
                <w:szCs w:val="16"/>
              </w:rPr>
              <w:t>The former is provided by Article 37-</w:t>
            </w:r>
            <w:r w:rsidRPr="008B720A">
              <w:rPr>
                <w:rFonts w:eastAsia="Verdana"/>
                <w:i/>
                <w:color w:val="auto"/>
                <w:sz w:val="16"/>
                <w:szCs w:val="16"/>
              </w:rPr>
              <w:t>bis</w:t>
            </w:r>
            <w:r w:rsidRPr="008B720A">
              <w:rPr>
                <w:rFonts w:eastAsia="Verdana"/>
                <w:color w:val="auto"/>
                <w:sz w:val="16"/>
                <w:szCs w:val="16"/>
              </w:rPr>
              <w:t xml:space="preserve"> of the Presidential Decree n. 600 of 1973.</w:t>
            </w:r>
          </w:p>
          <w:p w:rsidR="00584A41" w:rsidRPr="008B720A" w:rsidRDefault="00584A41" w:rsidP="00123FF5">
            <w:pPr>
              <w:rPr>
                <w:rFonts w:eastAsia="Verdana"/>
                <w:color w:val="auto"/>
                <w:sz w:val="16"/>
                <w:szCs w:val="16"/>
              </w:rPr>
            </w:pPr>
            <w:r w:rsidRPr="008B720A">
              <w:rPr>
                <w:rFonts w:eastAsia="Verdana"/>
                <w:color w:val="auto"/>
                <w:sz w:val="16"/>
                <w:szCs w:val="16"/>
              </w:rPr>
              <w:t xml:space="preserve">The latter is a creation of the Supreme Court case-law, who, in 2008, has stated that a general anti avoidance rule stems from Article 53 of the Italian Constitution (ability </w:t>
            </w:r>
            <w:r w:rsidRPr="008B720A">
              <w:rPr>
                <w:rFonts w:eastAsia="Verdana"/>
                <w:color w:val="auto"/>
                <w:sz w:val="16"/>
                <w:szCs w:val="16"/>
              </w:rPr>
              <w:lastRenderedPageBreak/>
              <w:t>to pay principle).</w:t>
            </w:r>
          </w:p>
          <w:p w:rsidR="00584A41" w:rsidRPr="008B720A" w:rsidRDefault="00584A41" w:rsidP="00123FF5">
            <w:pPr>
              <w:rPr>
                <w:rFonts w:eastAsia="Verdana"/>
                <w:color w:val="auto"/>
                <w:sz w:val="16"/>
                <w:szCs w:val="16"/>
              </w:rPr>
            </w:pPr>
            <w:r w:rsidRPr="008B720A">
              <w:rPr>
                <w:rFonts w:eastAsia="Verdana"/>
                <w:color w:val="auto"/>
                <w:sz w:val="16"/>
                <w:szCs w:val="16"/>
              </w:rPr>
              <w:t xml:space="preserve">Both rules </w:t>
            </w:r>
            <w:r w:rsidR="00FB01B4" w:rsidRPr="008B720A">
              <w:rPr>
                <w:rFonts w:eastAsia="Verdana"/>
                <w:color w:val="auto"/>
                <w:sz w:val="16"/>
                <w:szCs w:val="16"/>
              </w:rPr>
              <w:t>are grounded on these requirements:</w:t>
            </w:r>
          </w:p>
          <w:p w:rsidR="00FB01B4" w:rsidRPr="008B720A" w:rsidRDefault="0013451B" w:rsidP="00FB01B4">
            <w:pPr>
              <w:numPr>
                <w:ilvl w:val="0"/>
                <w:numId w:val="39"/>
              </w:numPr>
              <w:rPr>
                <w:rFonts w:eastAsia="Verdana"/>
                <w:color w:val="auto"/>
                <w:sz w:val="16"/>
                <w:szCs w:val="16"/>
              </w:rPr>
            </w:pPr>
            <w:r w:rsidRPr="008B720A">
              <w:rPr>
                <w:rFonts w:eastAsia="Verdana"/>
                <w:color w:val="auto"/>
                <w:sz w:val="16"/>
                <w:szCs w:val="16"/>
              </w:rPr>
              <w:t xml:space="preserve">circumvention </w:t>
            </w:r>
            <w:r w:rsidR="00FB01B4" w:rsidRPr="008B720A">
              <w:rPr>
                <w:rFonts w:eastAsia="Verdana"/>
                <w:color w:val="auto"/>
                <w:sz w:val="16"/>
                <w:szCs w:val="16"/>
              </w:rPr>
              <w:t>of (domestic or conventional) tax law;</w:t>
            </w:r>
          </w:p>
          <w:p w:rsidR="00FB01B4" w:rsidRPr="008B720A" w:rsidRDefault="0013451B" w:rsidP="00FB01B4">
            <w:pPr>
              <w:numPr>
                <w:ilvl w:val="0"/>
                <w:numId w:val="39"/>
              </w:numPr>
              <w:rPr>
                <w:rFonts w:eastAsia="Verdana"/>
                <w:color w:val="auto"/>
                <w:sz w:val="16"/>
                <w:szCs w:val="16"/>
              </w:rPr>
            </w:pPr>
            <w:r w:rsidRPr="008B720A">
              <w:rPr>
                <w:rFonts w:eastAsia="Verdana"/>
                <w:color w:val="auto"/>
                <w:sz w:val="16"/>
                <w:szCs w:val="16"/>
              </w:rPr>
              <w:t xml:space="preserve">purpose of </w:t>
            </w:r>
            <w:r w:rsidR="00FB01B4" w:rsidRPr="008B720A">
              <w:rPr>
                <w:rFonts w:eastAsia="Verdana"/>
                <w:color w:val="auto"/>
                <w:sz w:val="16"/>
                <w:szCs w:val="16"/>
              </w:rPr>
              <w:t xml:space="preserve">obtaining an </w:t>
            </w:r>
            <w:r w:rsidRPr="008B720A">
              <w:rPr>
                <w:rFonts w:eastAsia="Verdana"/>
                <w:color w:val="auto"/>
                <w:sz w:val="16"/>
                <w:szCs w:val="16"/>
              </w:rPr>
              <w:t xml:space="preserve">undue </w:t>
            </w:r>
            <w:r w:rsidR="00FB01B4" w:rsidRPr="008B720A">
              <w:rPr>
                <w:rFonts w:eastAsia="Verdana"/>
                <w:color w:val="auto"/>
                <w:sz w:val="16"/>
                <w:szCs w:val="16"/>
              </w:rPr>
              <w:t>tax benefit;</w:t>
            </w:r>
          </w:p>
          <w:p w:rsidR="00FB01B4" w:rsidRPr="008B720A" w:rsidRDefault="0013451B" w:rsidP="00FB01B4">
            <w:pPr>
              <w:numPr>
                <w:ilvl w:val="0"/>
                <w:numId w:val="39"/>
              </w:numPr>
              <w:rPr>
                <w:rFonts w:eastAsia="Verdana"/>
                <w:color w:val="auto"/>
                <w:sz w:val="16"/>
                <w:szCs w:val="16"/>
              </w:rPr>
            </w:pPr>
            <w:proofErr w:type="gramStart"/>
            <w:r w:rsidRPr="008B720A">
              <w:rPr>
                <w:rFonts w:eastAsia="Verdana"/>
                <w:color w:val="auto"/>
                <w:sz w:val="16"/>
                <w:szCs w:val="16"/>
              </w:rPr>
              <w:t>lack</w:t>
            </w:r>
            <w:proofErr w:type="gramEnd"/>
            <w:r w:rsidRPr="008B720A">
              <w:rPr>
                <w:rFonts w:eastAsia="Verdana"/>
                <w:color w:val="auto"/>
                <w:sz w:val="16"/>
                <w:szCs w:val="16"/>
              </w:rPr>
              <w:t xml:space="preserve"> of </w:t>
            </w:r>
            <w:r w:rsidR="00FB01B4" w:rsidRPr="008B720A">
              <w:rPr>
                <w:rFonts w:eastAsia="Verdana"/>
                <w:color w:val="auto"/>
                <w:sz w:val="16"/>
                <w:szCs w:val="16"/>
              </w:rPr>
              <w:t>actual economic reasons.</w:t>
            </w:r>
          </w:p>
          <w:p w:rsidR="00FB01B4" w:rsidRPr="008B720A" w:rsidRDefault="00FB01B4" w:rsidP="00FB01B4">
            <w:pPr>
              <w:rPr>
                <w:rFonts w:eastAsia="Verdana"/>
                <w:color w:val="auto"/>
                <w:sz w:val="16"/>
                <w:szCs w:val="16"/>
              </w:rPr>
            </w:pPr>
            <w:r w:rsidRPr="008B720A">
              <w:rPr>
                <w:rFonts w:eastAsia="Verdana"/>
                <w:color w:val="auto"/>
                <w:sz w:val="16"/>
                <w:szCs w:val="16"/>
              </w:rPr>
              <w:t>The main difference between the two rules concerns the procedure. The tax assessment of the situations which fall within Article 37-</w:t>
            </w:r>
            <w:r w:rsidRPr="008B720A">
              <w:rPr>
                <w:rFonts w:eastAsia="Verdana"/>
                <w:i/>
                <w:color w:val="auto"/>
                <w:sz w:val="16"/>
                <w:szCs w:val="16"/>
              </w:rPr>
              <w:t>bis</w:t>
            </w:r>
            <w:r w:rsidRPr="008B720A">
              <w:rPr>
                <w:rFonts w:eastAsia="Verdana"/>
                <w:color w:val="auto"/>
                <w:sz w:val="16"/>
                <w:szCs w:val="16"/>
              </w:rPr>
              <w:t xml:space="preserve"> follows a special procedure, which is not (expressly) extended to the GAAR.</w:t>
            </w:r>
          </w:p>
          <w:p w:rsidR="00113F86" w:rsidRPr="008B720A" w:rsidRDefault="00113F86" w:rsidP="00FB01B4">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The Legislative Decree No. 128 of August 2015 (published in the Official Gazette No. 190 of 18 August 2015 and entered into force on 2 September 2015), aims at providing certainty to taxpayers when dealing with the tax authorities and complying with their tax obligations.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This Legislative Decree reviews the current anti-avoidance legislation and abuse of law doctrine and jurisprudence, by introducing a legal definition of abuse of law, which takes also explicitly into account the EU Commission Recommendation 2012/772/UE on aggressive tax planning of 6 December 2012.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The Decree introduces a general anti-abuse/anti-avoidance rule to apply with respect to all taxes; in addition, it repeals Article 37-bis of Presidential Decree of 29 September 1973, no. 600.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As a fact, the new Article 10-bis concentrates in one provision the previous quasi-general anti-avoidance rule and abuse of law doctrine.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Under the new article 10-bis of Law No. 212 of 27 July 2000, one or more transactions constitute abuse of law where they lack economic substance and, even if formally consistent with tax law, they are essentially aimed at obtaining undue tax savings. Transactions are deemed to be lacking economic substance where they consist of facts, acts and contracts, also interconnected, which do not generate significant effects other than tax savings. Undue tax savings consist of tax benefits, even if not immediate, obtained in contrast with the purpose of tax provisions or the principles of the tax system.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 xml:space="preserve">Transactions do not constitute abuse of law where justified by valid and non-marginal non-tax reasons, including those aiming at improving the business organization or management. However, in order for the transaction to qualify as legitimate, the economic reasons shall not be negligible. </w:t>
            </w:r>
          </w:p>
          <w:p w:rsidR="00113F86" w:rsidRPr="008B720A" w:rsidRDefault="00113F86" w:rsidP="00113F86">
            <w:pPr>
              <w:rPr>
                <w:rFonts w:eastAsia="Verdana"/>
                <w:color w:val="auto"/>
                <w:sz w:val="16"/>
                <w:szCs w:val="16"/>
              </w:rPr>
            </w:pPr>
          </w:p>
          <w:p w:rsidR="00113F86" w:rsidRPr="008B720A" w:rsidRDefault="00113F86" w:rsidP="00113F86">
            <w:pPr>
              <w:rPr>
                <w:rFonts w:eastAsia="Verdana"/>
                <w:color w:val="auto"/>
                <w:sz w:val="16"/>
                <w:szCs w:val="16"/>
              </w:rPr>
            </w:pPr>
            <w:r w:rsidRPr="008B720A">
              <w:rPr>
                <w:rFonts w:eastAsia="Verdana"/>
                <w:color w:val="auto"/>
                <w:sz w:val="16"/>
                <w:szCs w:val="16"/>
              </w:rPr>
              <w:t>The new definition has become effective starting from the first day of the month following the entry in force of the Legislative Decree</w:t>
            </w:r>
            <w:r w:rsidRPr="008B720A">
              <w:rPr>
                <w:rFonts w:ascii="Calibri" w:hAnsi="Calibri" w:cs="Calibri"/>
                <w:color w:val="000000"/>
                <w:sz w:val="22"/>
                <w:szCs w:val="22"/>
                <w:lang w:eastAsia="da-DK"/>
              </w:rPr>
              <w:t>.</w:t>
            </w:r>
          </w:p>
          <w:p w:rsidR="00113F86" w:rsidRPr="008B720A" w:rsidRDefault="00113F86" w:rsidP="00113F86">
            <w:pPr>
              <w:rPr>
                <w:rFonts w:eastAsia="Verdana"/>
                <w:color w:val="auto"/>
                <w:sz w:val="16"/>
                <w:szCs w:val="16"/>
              </w:rPr>
            </w:pPr>
          </w:p>
        </w:tc>
      </w:tr>
      <w:tr w:rsidR="00123FF5" w:rsidRPr="008B720A" w:rsidTr="00BA6A51">
        <w:tc>
          <w:tcPr>
            <w:tcW w:w="9003" w:type="dxa"/>
            <w:gridSpan w:val="2"/>
            <w:tcBorders>
              <w:top w:val="single" w:sz="8" w:space="0" w:color="A7D3F5"/>
              <w:bottom w:val="single" w:sz="8" w:space="0" w:color="A7D3F5"/>
            </w:tcBorders>
            <w:shd w:val="clear" w:color="auto" w:fill="C6D9F1"/>
          </w:tcPr>
          <w:p w:rsidR="00123FF5" w:rsidRPr="008B720A" w:rsidRDefault="00123FF5" w:rsidP="00123FF5">
            <w:pPr>
              <w:rPr>
                <w:rFonts w:eastAsia="Verdana"/>
                <w:b/>
                <w:bCs/>
                <w:sz w:val="18"/>
                <w:szCs w:val="22"/>
              </w:rPr>
            </w:pPr>
            <w:r w:rsidRPr="008B720A">
              <w:rPr>
                <w:rFonts w:eastAsia="Verdana"/>
                <w:b/>
                <w:bCs/>
                <w:i/>
                <w:sz w:val="16"/>
                <w:szCs w:val="16"/>
              </w:rPr>
              <w:lastRenderedPageBreak/>
              <w:t>Other ATP indicators</w:t>
            </w:r>
          </w:p>
        </w:tc>
      </w:tr>
      <w:tr w:rsidR="00123FF5" w:rsidRPr="008B720A" w:rsidTr="00BA6A51">
        <w:tc>
          <w:tcPr>
            <w:tcW w:w="5070" w:type="dxa"/>
            <w:shd w:val="clear" w:color="auto" w:fill="auto"/>
          </w:tcPr>
          <w:p w:rsidR="00123FF5" w:rsidRPr="008B720A" w:rsidRDefault="00123FF5" w:rsidP="00BA6A51">
            <w:pPr>
              <w:pStyle w:val="ListNumber"/>
              <w:tabs>
                <w:tab w:val="clear" w:pos="284"/>
              </w:tabs>
              <w:ind w:left="340" w:hanging="340"/>
              <w:jc w:val="left"/>
              <w:rPr>
                <w:rFonts w:eastAsia="Verdana"/>
                <w:b/>
                <w:bCs/>
                <w:i/>
                <w:sz w:val="16"/>
                <w:szCs w:val="16"/>
              </w:rPr>
            </w:pPr>
            <w:r w:rsidRPr="008B720A">
              <w:rPr>
                <w:rFonts w:eastAsia="Verdana"/>
                <w:bCs/>
                <w:sz w:val="16"/>
                <w:szCs w:val="16"/>
              </w:rPr>
              <w:lastRenderedPageBreak/>
              <w:t>Are you aware of any tax rules, tax practice or lack of tax rules (loopholes) – other than those discussed in the preceding answers - which could facilitate your MS’s role in ATP? If yes, please briefly explain.</w:t>
            </w:r>
          </w:p>
        </w:tc>
        <w:tc>
          <w:tcPr>
            <w:tcW w:w="3933" w:type="dxa"/>
            <w:shd w:val="clear" w:color="auto" w:fill="auto"/>
          </w:tcPr>
          <w:p w:rsidR="00805208" w:rsidRPr="008B720A" w:rsidRDefault="00805208" w:rsidP="00805208">
            <w:pPr>
              <w:rPr>
                <w:rFonts w:eastAsia="Verdana"/>
                <w:color w:val="auto"/>
                <w:sz w:val="16"/>
                <w:szCs w:val="16"/>
              </w:rPr>
            </w:pPr>
            <w:r w:rsidRPr="008B720A">
              <w:rPr>
                <w:rFonts w:eastAsia="Verdana"/>
                <w:color w:val="auto"/>
                <w:sz w:val="16"/>
                <w:szCs w:val="16"/>
              </w:rPr>
              <w:t>The introduction of a GAAR by the Supreme Court in 2008 has given to the Tax Administration a powerful tool to fight against ATP. This rule can potentially cover any situation, as the evolution of case law demonstrates.</w:t>
            </w:r>
          </w:p>
          <w:p w:rsidR="00123FF5" w:rsidRPr="008B720A" w:rsidRDefault="00805208" w:rsidP="00805208">
            <w:pPr>
              <w:rPr>
                <w:rFonts w:eastAsia="Verdana"/>
                <w:color w:val="auto"/>
                <w:sz w:val="16"/>
                <w:szCs w:val="16"/>
              </w:rPr>
            </w:pPr>
            <w:r w:rsidRPr="008B720A">
              <w:rPr>
                <w:rFonts w:eastAsia="Verdana"/>
                <w:color w:val="auto"/>
                <w:sz w:val="16"/>
                <w:szCs w:val="16"/>
              </w:rPr>
              <w:t>It might wonder whether the introduction of the exemption for foreign PE of Italian companies (currently under discussion by the Italian parliament) might generate new chances for ATP.</w:t>
            </w:r>
          </w:p>
        </w:tc>
      </w:tr>
    </w:tbl>
    <w:p w:rsidR="00FA55B1" w:rsidRPr="008B720A" w:rsidRDefault="00FA55B1" w:rsidP="00BC2E2B"/>
    <w:sectPr w:rsidR="00FA55B1" w:rsidRPr="008B720A" w:rsidSect="0001240E">
      <w:headerReference w:type="default" r:id="rId12"/>
      <w:footerReference w:type="default" r:id="rId13"/>
      <w:headerReference w:type="first" r:id="rId14"/>
      <w:footerReference w:type="first" r:id="rId15"/>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3B" w:rsidRPr="006A1DAA" w:rsidRDefault="008D4F3B">
      <w:r w:rsidRPr="006A1DAA">
        <w:separator/>
      </w:r>
    </w:p>
  </w:endnote>
  <w:endnote w:type="continuationSeparator" w:id="0">
    <w:p w:rsidR="008D4F3B" w:rsidRPr="006A1DAA" w:rsidRDefault="008D4F3B">
      <w:r w:rsidRPr="006A1DAA">
        <w:continuationSeparator/>
      </w:r>
    </w:p>
  </w:endnote>
  <w:endnote w:type="continuationNotice" w:id="1">
    <w:p w:rsidR="008D4F3B" w:rsidRDefault="008D4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CED" w:rsidRPr="006A1DAA" w:rsidRDefault="00764CED"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0F4447">
      <w:rPr>
        <w:rStyle w:val="PageNumber"/>
        <w:noProof/>
      </w:rPr>
      <w:t>16</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CED" w:rsidRDefault="004A34E3" w:rsidP="006843AE">
    <w:pPr>
      <w:pStyle w:val="Footer"/>
      <w:jc w:val="center"/>
    </w:pPr>
    <w:r>
      <w:rPr>
        <w:noProof/>
        <w:color w:val="FFFFFF"/>
        <w:lang w:val="en-US" w:eastAsia="en-US"/>
      </w:rPr>
      <w:drawing>
        <wp:anchor distT="0" distB="0" distL="114300" distR="114300" simplePos="0" relativeHeight="251660288" behindDoc="0" locked="0" layoutInCell="1" allowOverlap="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proofErr w:type="spellStart"/>
    <w:proofErr w:type="gramStart"/>
    <w:r w:rsidR="00764CED" w:rsidRPr="00DB5B81">
      <w:rPr>
        <w:color w:val="FFFFFF"/>
      </w:rPr>
      <w:t>mmm</w:t>
    </w:r>
    <w:r w:rsidR="00764CED">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3B" w:rsidRPr="006A1DAA" w:rsidRDefault="008D4F3B">
      <w:r w:rsidRPr="006A1DAA">
        <w:separator/>
      </w:r>
    </w:p>
  </w:footnote>
  <w:footnote w:type="continuationSeparator" w:id="0">
    <w:p w:rsidR="008D4F3B" w:rsidRPr="006A1DAA" w:rsidRDefault="008D4F3B">
      <w:r w:rsidRPr="006A1DAA">
        <w:continuationSeparator/>
      </w:r>
    </w:p>
  </w:footnote>
  <w:footnote w:type="continuationNotice" w:id="1">
    <w:p w:rsidR="008D4F3B" w:rsidRDefault="008D4F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CED" w:rsidRDefault="00764CED" w:rsidP="00E6337A">
    <w:pPr>
      <w:pStyle w:val="Footer"/>
      <w:tabs>
        <w:tab w:val="clear" w:pos="8306"/>
        <w:tab w:val="right" w:pos="8820"/>
      </w:tabs>
      <w:ind w:right="3027"/>
      <w:jc w:val="right"/>
      <w:rPr>
        <w:rFonts w:cs="Arial"/>
        <w:b/>
        <w:i w:val="0"/>
        <w:noProof/>
        <w:color w:val="auto"/>
        <w:w w:val="80"/>
        <w:szCs w:val="16"/>
      </w:rPr>
    </w:pPr>
  </w:p>
  <w:p w:rsidR="00764CED" w:rsidRDefault="00764CED" w:rsidP="00E6337A">
    <w:pPr>
      <w:pStyle w:val="Footer"/>
      <w:tabs>
        <w:tab w:val="clear" w:pos="8306"/>
        <w:tab w:val="right" w:pos="8820"/>
      </w:tabs>
      <w:ind w:right="3027"/>
      <w:jc w:val="right"/>
      <w:rPr>
        <w:rFonts w:cs="Arial"/>
        <w:b/>
        <w:i w:val="0"/>
        <w:noProof/>
        <w:color w:val="auto"/>
        <w:w w:val="80"/>
        <w:szCs w:val="16"/>
      </w:rPr>
    </w:pPr>
  </w:p>
  <w:p w:rsidR="00764CED" w:rsidRPr="00BD2FBC" w:rsidRDefault="004A34E3" w:rsidP="00E6337A">
    <w:pPr>
      <w:pStyle w:val="Footer"/>
      <w:tabs>
        <w:tab w:val="clear" w:pos="8306"/>
        <w:tab w:val="left" w:pos="8789"/>
        <w:tab w:val="right" w:pos="8820"/>
      </w:tabs>
      <w:ind w:right="-2"/>
      <w:jc w:val="right"/>
      <w:rPr>
        <w:rFonts w:cs="Arial"/>
        <w:noProof/>
        <w:color w:val="auto"/>
        <w:szCs w:val="16"/>
      </w:rPr>
    </w:pPr>
    <w:r>
      <w:rPr>
        <w:i w:val="0"/>
        <w:noProof/>
        <w:color w:val="000000"/>
        <w:szCs w:val="24"/>
        <w:lang w:val="en-US" w:eastAsia="en-US"/>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764CED" w:rsidRPr="00B04590">
      <w:rPr>
        <w:rStyle w:val="HeaderChar"/>
      </w:rPr>
      <w:t xml:space="preserve"> </w:t>
    </w:r>
    <w:r w:rsidR="00764CED">
      <w:rPr>
        <w:rStyle w:val="HeaderChar"/>
      </w:rPr>
      <w:t>Questionnaire - Italy</w:t>
    </w:r>
  </w:p>
  <w:p w:rsidR="00764CED" w:rsidRDefault="00764CE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764CED" w:rsidRDefault="004A34E3" w:rsidP="00F73F01">
    <w:pPr>
      <w:pStyle w:val="Footer"/>
      <w:pBdr>
        <w:bottom w:val="single" w:sz="4" w:space="1" w:color="7B6F46"/>
      </w:pBdr>
      <w:tabs>
        <w:tab w:val="clear" w:pos="8306"/>
        <w:tab w:val="right" w:pos="8820"/>
      </w:tabs>
      <w:ind w:right="3027"/>
      <w:jc w:val="center"/>
    </w:pPr>
    <w:r>
      <w:rPr>
        <w:rFonts w:cs="Arial"/>
        <w:b/>
        <w:i w:val="0"/>
        <w:noProof/>
        <w:color w:val="auto"/>
        <w:szCs w:val="16"/>
        <w:lang w:val="en-US" w:eastAsia="en-US"/>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lang w:val="en-US" w:eastAsia="en-US"/>
      </w:rPr>
      <w:drawing>
        <wp:inline distT="0" distB="0" distL="0" distR="0">
          <wp:extent cx="5752465" cy="7533640"/>
          <wp:effectExtent l="0" t="0" r="635" b="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7533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CED" w:rsidRDefault="004A34E3" w:rsidP="006843AE">
    <w:pPr>
      <w:pStyle w:val="Header"/>
      <w:jc w:val="center"/>
    </w:pPr>
    <w:r>
      <w:rPr>
        <w:noProof/>
        <w:lang w:val="en-US" w:eastAsia="en-US"/>
      </w:rPr>
      <w:drawing>
        <wp:anchor distT="0" distB="0" distL="114300" distR="114300" simplePos="0" relativeHeight="251659264" behindDoc="0" locked="0" layoutInCell="1" allowOverlap="1">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5840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2">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3">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4">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5">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6">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7">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8">
    <w:nsid w:val="078D613A"/>
    <w:multiLevelType w:val="hybridMultilevel"/>
    <w:tmpl w:val="853A9A8A"/>
    <w:lvl w:ilvl="0" w:tplc="05283BC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9152AFF"/>
    <w:multiLevelType w:val="hybridMultilevel"/>
    <w:tmpl w:val="00D68A7A"/>
    <w:lvl w:ilvl="0" w:tplc="AD320A8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F1B3871"/>
    <w:multiLevelType w:val="hybridMultilevel"/>
    <w:tmpl w:val="D3226FC8"/>
    <w:lvl w:ilvl="0" w:tplc="6CD0DEC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9">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1">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2">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3">
    <w:nsid w:val="43944DF5"/>
    <w:multiLevelType w:val="hybridMultilevel"/>
    <w:tmpl w:val="67B60B08"/>
    <w:lvl w:ilvl="0" w:tplc="492EBE2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A317946"/>
    <w:multiLevelType w:val="hybridMultilevel"/>
    <w:tmpl w:val="9D28A764"/>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51A441FD"/>
    <w:multiLevelType w:val="hybridMultilevel"/>
    <w:tmpl w:val="84145542"/>
    <w:lvl w:ilvl="0" w:tplc="FAC4F1D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8">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9">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31">
    <w:nsid w:val="643805C6"/>
    <w:multiLevelType w:val="hybridMultilevel"/>
    <w:tmpl w:val="FEE66106"/>
    <w:lvl w:ilvl="0" w:tplc="87DED0E2">
      <w:start w:val="1"/>
      <w:numFmt w:val="bullet"/>
      <w:lvlText w:val="-"/>
      <w:lvlJc w:val="left"/>
      <w:pPr>
        <w:ind w:left="720" w:hanging="360"/>
      </w:pPr>
      <w:rPr>
        <w:rFonts w:ascii="Verdana" w:eastAsia="Verdana" w:hAnsi="Verdan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4">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5243B64"/>
    <w:multiLevelType w:val="hybridMultilevel"/>
    <w:tmpl w:val="1192522E"/>
    <w:lvl w:ilvl="0" w:tplc="F89E72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6"/>
  </w:num>
  <w:num w:numId="2">
    <w:abstractNumId w:val="4"/>
  </w:num>
  <w:num w:numId="3">
    <w:abstractNumId w:val="3"/>
  </w:num>
  <w:num w:numId="4">
    <w:abstractNumId w:val="2"/>
  </w:num>
  <w:num w:numId="5">
    <w:abstractNumId w:val="1"/>
  </w:num>
  <w:num w:numId="6">
    <w:abstractNumId w:val="15"/>
  </w:num>
  <w:num w:numId="7">
    <w:abstractNumId w:val="13"/>
  </w:num>
  <w:num w:numId="8">
    <w:abstractNumId w:val="24"/>
  </w:num>
  <w:num w:numId="9">
    <w:abstractNumId w:val="27"/>
  </w:num>
  <w:num w:numId="10">
    <w:abstractNumId w:val="17"/>
  </w:num>
  <w:num w:numId="11">
    <w:abstractNumId w:val="10"/>
  </w:num>
  <w:num w:numId="12">
    <w:abstractNumId w:val="37"/>
  </w:num>
  <w:num w:numId="13">
    <w:abstractNumId w:val="7"/>
  </w:num>
  <w:num w:numId="14">
    <w:abstractNumId w:val="21"/>
  </w:num>
  <w:num w:numId="15">
    <w:abstractNumId w:val="32"/>
  </w:num>
  <w:num w:numId="16">
    <w:abstractNumId w:val="30"/>
  </w:num>
  <w:num w:numId="17">
    <w:abstractNumId w:val="22"/>
  </w:num>
  <w:num w:numId="18">
    <w:abstractNumId w:val="20"/>
  </w:num>
  <w:num w:numId="19">
    <w:abstractNumId w:val="5"/>
  </w:num>
  <w:num w:numId="20">
    <w:abstractNumId w:val="34"/>
  </w:num>
  <w:num w:numId="21">
    <w:abstractNumId w:val="12"/>
  </w:num>
  <w:num w:numId="22">
    <w:abstractNumId w:val="14"/>
  </w:num>
  <w:num w:numId="23">
    <w:abstractNumId w:val="28"/>
  </w:num>
  <w:num w:numId="24">
    <w:abstractNumId w:val="19"/>
  </w:num>
  <w:num w:numId="25">
    <w:abstractNumId w:val="33"/>
  </w:num>
  <w:num w:numId="26">
    <w:abstractNumId w:val="18"/>
  </w:num>
  <w:num w:numId="27">
    <w:abstractNumId w:val="16"/>
  </w:num>
  <w:num w:numId="28">
    <w:abstractNumId w:val="36"/>
  </w:num>
  <w:num w:numId="29">
    <w:abstractNumId w:val="29"/>
  </w:num>
  <w:num w:numId="30">
    <w:abstractNumId w:val="5"/>
  </w:num>
  <w:num w:numId="31">
    <w:abstractNumId w:val="25"/>
  </w:num>
  <w:num w:numId="32">
    <w:abstractNumId w:val="31"/>
  </w:num>
  <w:num w:numId="33">
    <w:abstractNumId w:val="0"/>
  </w:num>
  <w:num w:numId="34">
    <w:abstractNumId w:val="11"/>
  </w:num>
  <w:num w:numId="35">
    <w:abstractNumId w:val="9"/>
  </w:num>
  <w:num w:numId="36">
    <w:abstractNumId w:val="23"/>
  </w:num>
  <w:num w:numId="37">
    <w:abstractNumId w:val="26"/>
  </w:num>
  <w:num w:numId="38">
    <w:abstractNumId w:val="35"/>
  </w:num>
  <w:num w:numId="3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DF0"/>
    <w:rsid w:val="00005E82"/>
    <w:rsid w:val="000060E8"/>
    <w:rsid w:val="00007392"/>
    <w:rsid w:val="00007AB9"/>
    <w:rsid w:val="00011182"/>
    <w:rsid w:val="0001240E"/>
    <w:rsid w:val="00012675"/>
    <w:rsid w:val="00013D71"/>
    <w:rsid w:val="000141A3"/>
    <w:rsid w:val="00015760"/>
    <w:rsid w:val="00015C48"/>
    <w:rsid w:val="000174A7"/>
    <w:rsid w:val="00017FC1"/>
    <w:rsid w:val="000227E0"/>
    <w:rsid w:val="000243B6"/>
    <w:rsid w:val="00024498"/>
    <w:rsid w:val="000244D6"/>
    <w:rsid w:val="000248EA"/>
    <w:rsid w:val="00025625"/>
    <w:rsid w:val="00026A2E"/>
    <w:rsid w:val="00026A9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5E1F"/>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73B"/>
    <w:rsid w:val="000747D0"/>
    <w:rsid w:val="00074C5F"/>
    <w:rsid w:val="00076EB2"/>
    <w:rsid w:val="00077239"/>
    <w:rsid w:val="00080B11"/>
    <w:rsid w:val="00081939"/>
    <w:rsid w:val="00081B17"/>
    <w:rsid w:val="00081E2B"/>
    <w:rsid w:val="00083322"/>
    <w:rsid w:val="000838C9"/>
    <w:rsid w:val="00083D17"/>
    <w:rsid w:val="0008463C"/>
    <w:rsid w:val="000846BD"/>
    <w:rsid w:val="00084C7A"/>
    <w:rsid w:val="00084DEF"/>
    <w:rsid w:val="0008560D"/>
    <w:rsid w:val="00085D1E"/>
    <w:rsid w:val="00091909"/>
    <w:rsid w:val="00091E98"/>
    <w:rsid w:val="0009419B"/>
    <w:rsid w:val="0009490F"/>
    <w:rsid w:val="00094AB3"/>
    <w:rsid w:val="00095C34"/>
    <w:rsid w:val="00096A5C"/>
    <w:rsid w:val="00096CEE"/>
    <w:rsid w:val="000A0E44"/>
    <w:rsid w:val="000A17AD"/>
    <w:rsid w:val="000A247A"/>
    <w:rsid w:val="000A360E"/>
    <w:rsid w:val="000A3745"/>
    <w:rsid w:val="000A683C"/>
    <w:rsid w:val="000A6C42"/>
    <w:rsid w:val="000B01AA"/>
    <w:rsid w:val="000B0E45"/>
    <w:rsid w:val="000B1296"/>
    <w:rsid w:val="000B1900"/>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0D7"/>
    <w:rsid w:val="000C6B6F"/>
    <w:rsid w:val="000C7B99"/>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485F"/>
    <w:rsid w:val="000E500B"/>
    <w:rsid w:val="000E530C"/>
    <w:rsid w:val="000E6241"/>
    <w:rsid w:val="000F02C6"/>
    <w:rsid w:val="000F05F9"/>
    <w:rsid w:val="000F06F3"/>
    <w:rsid w:val="000F0714"/>
    <w:rsid w:val="000F0B8C"/>
    <w:rsid w:val="000F1F7F"/>
    <w:rsid w:val="000F21F4"/>
    <w:rsid w:val="000F260B"/>
    <w:rsid w:val="000F4447"/>
    <w:rsid w:val="000F4DA4"/>
    <w:rsid w:val="000F5233"/>
    <w:rsid w:val="000F5759"/>
    <w:rsid w:val="000F69CF"/>
    <w:rsid w:val="000F6B26"/>
    <w:rsid w:val="000F7BB5"/>
    <w:rsid w:val="00100218"/>
    <w:rsid w:val="0010044B"/>
    <w:rsid w:val="00102228"/>
    <w:rsid w:val="001037E2"/>
    <w:rsid w:val="0010392E"/>
    <w:rsid w:val="00104B52"/>
    <w:rsid w:val="00105BA9"/>
    <w:rsid w:val="001077CC"/>
    <w:rsid w:val="00107A66"/>
    <w:rsid w:val="00110F8E"/>
    <w:rsid w:val="00111F04"/>
    <w:rsid w:val="00111FC4"/>
    <w:rsid w:val="00112D0D"/>
    <w:rsid w:val="00113F86"/>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3FF5"/>
    <w:rsid w:val="001255B2"/>
    <w:rsid w:val="001257DD"/>
    <w:rsid w:val="0012596E"/>
    <w:rsid w:val="00125C6C"/>
    <w:rsid w:val="001268A8"/>
    <w:rsid w:val="00127F9A"/>
    <w:rsid w:val="0013044D"/>
    <w:rsid w:val="001332B5"/>
    <w:rsid w:val="0013451B"/>
    <w:rsid w:val="00134DE4"/>
    <w:rsid w:val="00135C38"/>
    <w:rsid w:val="00140314"/>
    <w:rsid w:val="00140693"/>
    <w:rsid w:val="00140D74"/>
    <w:rsid w:val="00141838"/>
    <w:rsid w:val="00141C36"/>
    <w:rsid w:val="00141D40"/>
    <w:rsid w:val="00141F0C"/>
    <w:rsid w:val="00143052"/>
    <w:rsid w:val="001431C5"/>
    <w:rsid w:val="00143D09"/>
    <w:rsid w:val="00145C98"/>
    <w:rsid w:val="001469C3"/>
    <w:rsid w:val="001470B2"/>
    <w:rsid w:val="00147494"/>
    <w:rsid w:val="001474AE"/>
    <w:rsid w:val="00151587"/>
    <w:rsid w:val="00151E9E"/>
    <w:rsid w:val="001525F8"/>
    <w:rsid w:val="001530FE"/>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168"/>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52BE"/>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210"/>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6D3"/>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450"/>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77EC3"/>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09B"/>
    <w:rsid w:val="002A42B8"/>
    <w:rsid w:val="002A4A4C"/>
    <w:rsid w:val="002A4FAC"/>
    <w:rsid w:val="002B0A74"/>
    <w:rsid w:val="002B3B85"/>
    <w:rsid w:val="002B429F"/>
    <w:rsid w:val="002B56D7"/>
    <w:rsid w:val="002B778E"/>
    <w:rsid w:val="002B7B68"/>
    <w:rsid w:val="002B7C7B"/>
    <w:rsid w:val="002C08C1"/>
    <w:rsid w:val="002C09F2"/>
    <w:rsid w:val="002C2756"/>
    <w:rsid w:val="002C3989"/>
    <w:rsid w:val="002C5298"/>
    <w:rsid w:val="002C5664"/>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3C9"/>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66B"/>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8F2"/>
    <w:rsid w:val="003A2A83"/>
    <w:rsid w:val="003A2C62"/>
    <w:rsid w:val="003A37ED"/>
    <w:rsid w:val="003A3D15"/>
    <w:rsid w:val="003A441D"/>
    <w:rsid w:val="003A4A25"/>
    <w:rsid w:val="003A6F57"/>
    <w:rsid w:val="003B065A"/>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0C3"/>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773"/>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0A7E"/>
    <w:rsid w:val="004414E0"/>
    <w:rsid w:val="00442152"/>
    <w:rsid w:val="00442E22"/>
    <w:rsid w:val="00442F14"/>
    <w:rsid w:val="004431F2"/>
    <w:rsid w:val="0044373C"/>
    <w:rsid w:val="00443BBB"/>
    <w:rsid w:val="00445B78"/>
    <w:rsid w:val="00445FBD"/>
    <w:rsid w:val="00447F2F"/>
    <w:rsid w:val="004516EF"/>
    <w:rsid w:val="004521B7"/>
    <w:rsid w:val="004537E0"/>
    <w:rsid w:val="00453AE2"/>
    <w:rsid w:val="00455A2B"/>
    <w:rsid w:val="0045606F"/>
    <w:rsid w:val="00457C07"/>
    <w:rsid w:val="00457C0C"/>
    <w:rsid w:val="00460C3C"/>
    <w:rsid w:val="004612C9"/>
    <w:rsid w:val="00461B58"/>
    <w:rsid w:val="0046408E"/>
    <w:rsid w:val="004643C3"/>
    <w:rsid w:val="004649BE"/>
    <w:rsid w:val="00464B8F"/>
    <w:rsid w:val="00464FC6"/>
    <w:rsid w:val="00466212"/>
    <w:rsid w:val="004711A5"/>
    <w:rsid w:val="00471CEB"/>
    <w:rsid w:val="00472263"/>
    <w:rsid w:val="004737F0"/>
    <w:rsid w:val="00473E06"/>
    <w:rsid w:val="00475724"/>
    <w:rsid w:val="00475ECD"/>
    <w:rsid w:val="0047702C"/>
    <w:rsid w:val="00477A2C"/>
    <w:rsid w:val="004801DD"/>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4E3"/>
    <w:rsid w:val="004A3582"/>
    <w:rsid w:val="004A4707"/>
    <w:rsid w:val="004A4AF3"/>
    <w:rsid w:val="004A5357"/>
    <w:rsid w:val="004A5A26"/>
    <w:rsid w:val="004A5D90"/>
    <w:rsid w:val="004A67FD"/>
    <w:rsid w:val="004A68E1"/>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00F"/>
    <w:rsid w:val="004D5591"/>
    <w:rsid w:val="004D5D82"/>
    <w:rsid w:val="004D5DD1"/>
    <w:rsid w:val="004D6823"/>
    <w:rsid w:val="004D7287"/>
    <w:rsid w:val="004D74FA"/>
    <w:rsid w:val="004E06FE"/>
    <w:rsid w:val="004E3173"/>
    <w:rsid w:val="004E32FE"/>
    <w:rsid w:val="004E3645"/>
    <w:rsid w:val="004E3D7D"/>
    <w:rsid w:val="004E4477"/>
    <w:rsid w:val="004E474C"/>
    <w:rsid w:val="004E49A2"/>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AC5"/>
    <w:rsid w:val="00516EE7"/>
    <w:rsid w:val="00516F15"/>
    <w:rsid w:val="005208E5"/>
    <w:rsid w:val="0052129E"/>
    <w:rsid w:val="00521AD5"/>
    <w:rsid w:val="00521D35"/>
    <w:rsid w:val="00523217"/>
    <w:rsid w:val="005237A0"/>
    <w:rsid w:val="00523963"/>
    <w:rsid w:val="00523F4A"/>
    <w:rsid w:val="005254AC"/>
    <w:rsid w:val="00525B44"/>
    <w:rsid w:val="005273ED"/>
    <w:rsid w:val="00527526"/>
    <w:rsid w:val="005303A5"/>
    <w:rsid w:val="00531342"/>
    <w:rsid w:val="00532CC6"/>
    <w:rsid w:val="005332D4"/>
    <w:rsid w:val="00535381"/>
    <w:rsid w:val="00535626"/>
    <w:rsid w:val="00535D82"/>
    <w:rsid w:val="0053727F"/>
    <w:rsid w:val="00537638"/>
    <w:rsid w:val="0054030E"/>
    <w:rsid w:val="00541D2F"/>
    <w:rsid w:val="00542B8A"/>
    <w:rsid w:val="00542F06"/>
    <w:rsid w:val="00543239"/>
    <w:rsid w:val="00543465"/>
    <w:rsid w:val="00543D66"/>
    <w:rsid w:val="00544FFC"/>
    <w:rsid w:val="005457A3"/>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D88"/>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2B16"/>
    <w:rsid w:val="00573363"/>
    <w:rsid w:val="00573BE3"/>
    <w:rsid w:val="0057508B"/>
    <w:rsid w:val="00575241"/>
    <w:rsid w:val="005756EF"/>
    <w:rsid w:val="005772A2"/>
    <w:rsid w:val="00581C1B"/>
    <w:rsid w:val="005825A9"/>
    <w:rsid w:val="0058325D"/>
    <w:rsid w:val="005837C7"/>
    <w:rsid w:val="00583B62"/>
    <w:rsid w:val="00584A41"/>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07"/>
    <w:rsid w:val="005A0B37"/>
    <w:rsid w:val="005A0BF0"/>
    <w:rsid w:val="005A110C"/>
    <w:rsid w:val="005A1150"/>
    <w:rsid w:val="005A1668"/>
    <w:rsid w:val="005A1F4E"/>
    <w:rsid w:val="005A24A3"/>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0573"/>
    <w:rsid w:val="005C1260"/>
    <w:rsid w:val="005C7110"/>
    <w:rsid w:val="005C77A1"/>
    <w:rsid w:val="005D0B90"/>
    <w:rsid w:val="005D154D"/>
    <w:rsid w:val="005D1677"/>
    <w:rsid w:val="005D2960"/>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6935"/>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A40"/>
    <w:rsid w:val="00653B47"/>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045"/>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A7E30"/>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279"/>
    <w:rsid w:val="006D6E66"/>
    <w:rsid w:val="006D6F52"/>
    <w:rsid w:val="006D70CD"/>
    <w:rsid w:val="006D7D63"/>
    <w:rsid w:val="006E00AC"/>
    <w:rsid w:val="006E13E6"/>
    <w:rsid w:val="006E1DA2"/>
    <w:rsid w:val="006E1E0C"/>
    <w:rsid w:val="006E2964"/>
    <w:rsid w:val="006E3311"/>
    <w:rsid w:val="006E62AF"/>
    <w:rsid w:val="006E6E08"/>
    <w:rsid w:val="006F18B3"/>
    <w:rsid w:val="006F325C"/>
    <w:rsid w:val="006F408D"/>
    <w:rsid w:val="006F4FE8"/>
    <w:rsid w:val="006F7BE2"/>
    <w:rsid w:val="00700825"/>
    <w:rsid w:val="00703140"/>
    <w:rsid w:val="007039C8"/>
    <w:rsid w:val="00704107"/>
    <w:rsid w:val="00704197"/>
    <w:rsid w:val="00704C75"/>
    <w:rsid w:val="00704F32"/>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37768"/>
    <w:rsid w:val="00740025"/>
    <w:rsid w:val="00740458"/>
    <w:rsid w:val="00742101"/>
    <w:rsid w:val="00743AF8"/>
    <w:rsid w:val="00743D16"/>
    <w:rsid w:val="00744142"/>
    <w:rsid w:val="00744941"/>
    <w:rsid w:val="00746C3C"/>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BDE"/>
    <w:rsid w:val="00761CFF"/>
    <w:rsid w:val="00763962"/>
    <w:rsid w:val="00763AC8"/>
    <w:rsid w:val="00764CED"/>
    <w:rsid w:val="007653FB"/>
    <w:rsid w:val="007654DE"/>
    <w:rsid w:val="00765AD1"/>
    <w:rsid w:val="007661EC"/>
    <w:rsid w:val="00766454"/>
    <w:rsid w:val="00766BD4"/>
    <w:rsid w:val="00766D9F"/>
    <w:rsid w:val="0076729F"/>
    <w:rsid w:val="00771847"/>
    <w:rsid w:val="00771BE7"/>
    <w:rsid w:val="0077327E"/>
    <w:rsid w:val="00773EEE"/>
    <w:rsid w:val="00774C8C"/>
    <w:rsid w:val="00774D8E"/>
    <w:rsid w:val="00774ED2"/>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2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264D"/>
    <w:rsid w:val="007A3216"/>
    <w:rsid w:val="007A48E0"/>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6AF"/>
    <w:rsid w:val="007C776D"/>
    <w:rsid w:val="007C7B8E"/>
    <w:rsid w:val="007D003B"/>
    <w:rsid w:val="007D1035"/>
    <w:rsid w:val="007D245E"/>
    <w:rsid w:val="007D253A"/>
    <w:rsid w:val="007D4AF2"/>
    <w:rsid w:val="007D4BEB"/>
    <w:rsid w:val="007D5877"/>
    <w:rsid w:val="007D5E6F"/>
    <w:rsid w:val="007E08ED"/>
    <w:rsid w:val="007E1174"/>
    <w:rsid w:val="007E23AD"/>
    <w:rsid w:val="007E258F"/>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29F"/>
    <w:rsid w:val="0080162D"/>
    <w:rsid w:val="00802EF4"/>
    <w:rsid w:val="00805208"/>
    <w:rsid w:val="00806C02"/>
    <w:rsid w:val="00811844"/>
    <w:rsid w:val="00811950"/>
    <w:rsid w:val="00811B06"/>
    <w:rsid w:val="00811DD6"/>
    <w:rsid w:val="00811F97"/>
    <w:rsid w:val="0081430C"/>
    <w:rsid w:val="00814AF0"/>
    <w:rsid w:val="00814C43"/>
    <w:rsid w:val="00814FAA"/>
    <w:rsid w:val="00815038"/>
    <w:rsid w:val="00815571"/>
    <w:rsid w:val="00815D3D"/>
    <w:rsid w:val="00816AE4"/>
    <w:rsid w:val="00817EBF"/>
    <w:rsid w:val="00817F95"/>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14B"/>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047F"/>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80C"/>
    <w:rsid w:val="008A5DA5"/>
    <w:rsid w:val="008A717D"/>
    <w:rsid w:val="008A7B34"/>
    <w:rsid w:val="008B05E7"/>
    <w:rsid w:val="008B2B74"/>
    <w:rsid w:val="008B5EB1"/>
    <w:rsid w:val="008B6E3D"/>
    <w:rsid w:val="008B720A"/>
    <w:rsid w:val="008B7493"/>
    <w:rsid w:val="008C01C1"/>
    <w:rsid w:val="008C01CE"/>
    <w:rsid w:val="008C03E0"/>
    <w:rsid w:val="008C105F"/>
    <w:rsid w:val="008C15A0"/>
    <w:rsid w:val="008C205D"/>
    <w:rsid w:val="008C2A2A"/>
    <w:rsid w:val="008C3F88"/>
    <w:rsid w:val="008C48A4"/>
    <w:rsid w:val="008C52F8"/>
    <w:rsid w:val="008C5BF9"/>
    <w:rsid w:val="008C63EA"/>
    <w:rsid w:val="008C717A"/>
    <w:rsid w:val="008D0555"/>
    <w:rsid w:val="008D0808"/>
    <w:rsid w:val="008D17DE"/>
    <w:rsid w:val="008D1806"/>
    <w:rsid w:val="008D1835"/>
    <w:rsid w:val="008D2230"/>
    <w:rsid w:val="008D239B"/>
    <w:rsid w:val="008D2DEC"/>
    <w:rsid w:val="008D4D8D"/>
    <w:rsid w:val="008D4F3B"/>
    <w:rsid w:val="008D5314"/>
    <w:rsid w:val="008D7468"/>
    <w:rsid w:val="008E0A46"/>
    <w:rsid w:val="008E0A76"/>
    <w:rsid w:val="008E1A6C"/>
    <w:rsid w:val="008E317B"/>
    <w:rsid w:val="008E3408"/>
    <w:rsid w:val="008E386F"/>
    <w:rsid w:val="008E3919"/>
    <w:rsid w:val="008E5493"/>
    <w:rsid w:val="008E6E22"/>
    <w:rsid w:val="008F010A"/>
    <w:rsid w:val="008F085C"/>
    <w:rsid w:val="008F0CC0"/>
    <w:rsid w:val="008F0DDE"/>
    <w:rsid w:val="008F15DA"/>
    <w:rsid w:val="008F196A"/>
    <w:rsid w:val="008F24DB"/>
    <w:rsid w:val="008F2865"/>
    <w:rsid w:val="008F37A6"/>
    <w:rsid w:val="008F494C"/>
    <w:rsid w:val="008F4B1B"/>
    <w:rsid w:val="008F53CD"/>
    <w:rsid w:val="008F553C"/>
    <w:rsid w:val="008F56A0"/>
    <w:rsid w:val="008F5D72"/>
    <w:rsid w:val="008F6BDA"/>
    <w:rsid w:val="008F73EA"/>
    <w:rsid w:val="00900093"/>
    <w:rsid w:val="00900098"/>
    <w:rsid w:val="009005C1"/>
    <w:rsid w:val="0090121A"/>
    <w:rsid w:val="009014CD"/>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9EE"/>
    <w:rsid w:val="00925BF8"/>
    <w:rsid w:val="009270B6"/>
    <w:rsid w:val="00927E3D"/>
    <w:rsid w:val="00931A3D"/>
    <w:rsid w:val="00932050"/>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16D"/>
    <w:rsid w:val="00955CDD"/>
    <w:rsid w:val="00955EE0"/>
    <w:rsid w:val="0095671E"/>
    <w:rsid w:val="00957719"/>
    <w:rsid w:val="00957CFD"/>
    <w:rsid w:val="00962AD7"/>
    <w:rsid w:val="0096335F"/>
    <w:rsid w:val="0096398F"/>
    <w:rsid w:val="009649BA"/>
    <w:rsid w:val="00965AD5"/>
    <w:rsid w:val="00966089"/>
    <w:rsid w:val="009662D1"/>
    <w:rsid w:val="0096654D"/>
    <w:rsid w:val="00967E9A"/>
    <w:rsid w:val="00967FDC"/>
    <w:rsid w:val="00970638"/>
    <w:rsid w:val="009731D5"/>
    <w:rsid w:val="009732CA"/>
    <w:rsid w:val="0097352D"/>
    <w:rsid w:val="0097415A"/>
    <w:rsid w:val="00974170"/>
    <w:rsid w:val="0097583A"/>
    <w:rsid w:val="009758F8"/>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6A07"/>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BED"/>
    <w:rsid w:val="009C1EC0"/>
    <w:rsid w:val="009C32EE"/>
    <w:rsid w:val="009C35EB"/>
    <w:rsid w:val="009C3D3C"/>
    <w:rsid w:val="009C409E"/>
    <w:rsid w:val="009C4779"/>
    <w:rsid w:val="009D0026"/>
    <w:rsid w:val="009D23BF"/>
    <w:rsid w:val="009D251E"/>
    <w:rsid w:val="009D316D"/>
    <w:rsid w:val="009D46C7"/>
    <w:rsid w:val="009D4A2A"/>
    <w:rsid w:val="009D4F33"/>
    <w:rsid w:val="009D6A1B"/>
    <w:rsid w:val="009D6FE5"/>
    <w:rsid w:val="009E075C"/>
    <w:rsid w:val="009E1313"/>
    <w:rsid w:val="009E21F8"/>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27FDF"/>
    <w:rsid w:val="00A30052"/>
    <w:rsid w:val="00A30E55"/>
    <w:rsid w:val="00A30FCD"/>
    <w:rsid w:val="00A31409"/>
    <w:rsid w:val="00A31D86"/>
    <w:rsid w:val="00A321EA"/>
    <w:rsid w:val="00A32E2F"/>
    <w:rsid w:val="00A3375B"/>
    <w:rsid w:val="00A34D34"/>
    <w:rsid w:val="00A35A74"/>
    <w:rsid w:val="00A36ABE"/>
    <w:rsid w:val="00A3767C"/>
    <w:rsid w:val="00A37885"/>
    <w:rsid w:val="00A37C2D"/>
    <w:rsid w:val="00A37F67"/>
    <w:rsid w:val="00A4001C"/>
    <w:rsid w:val="00A404B8"/>
    <w:rsid w:val="00A410C9"/>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055A"/>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B6D"/>
    <w:rsid w:val="00A73DDC"/>
    <w:rsid w:val="00A74FA5"/>
    <w:rsid w:val="00A759B7"/>
    <w:rsid w:val="00A76603"/>
    <w:rsid w:val="00A76814"/>
    <w:rsid w:val="00A77CD3"/>
    <w:rsid w:val="00A804AE"/>
    <w:rsid w:val="00A80864"/>
    <w:rsid w:val="00A842B1"/>
    <w:rsid w:val="00A84AB9"/>
    <w:rsid w:val="00A84AD3"/>
    <w:rsid w:val="00A84AF2"/>
    <w:rsid w:val="00A86E86"/>
    <w:rsid w:val="00A86F01"/>
    <w:rsid w:val="00A87205"/>
    <w:rsid w:val="00A87426"/>
    <w:rsid w:val="00A87BE9"/>
    <w:rsid w:val="00A909C3"/>
    <w:rsid w:val="00A91DD8"/>
    <w:rsid w:val="00A92918"/>
    <w:rsid w:val="00A94DAC"/>
    <w:rsid w:val="00A95801"/>
    <w:rsid w:val="00A95EF3"/>
    <w:rsid w:val="00A9668A"/>
    <w:rsid w:val="00A96E92"/>
    <w:rsid w:val="00AA0512"/>
    <w:rsid w:val="00AA0C42"/>
    <w:rsid w:val="00AA0DF1"/>
    <w:rsid w:val="00AA0E0E"/>
    <w:rsid w:val="00AA3618"/>
    <w:rsid w:val="00AA41D1"/>
    <w:rsid w:val="00AA4925"/>
    <w:rsid w:val="00AA4E0F"/>
    <w:rsid w:val="00AA5AAB"/>
    <w:rsid w:val="00AA5F58"/>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4ACD"/>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2191"/>
    <w:rsid w:val="00B034A7"/>
    <w:rsid w:val="00B036CC"/>
    <w:rsid w:val="00B03E5A"/>
    <w:rsid w:val="00B0455E"/>
    <w:rsid w:val="00B04590"/>
    <w:rsid w:val="00B057B6"/>
    <w:rsid w:val="00B063D5"/>
    <w:rsid w:val="00B065BE"/>
    <w:rsid w:val="00B07F7D"/>
    <w:rsid w:val="00B103AE"/>
    <w:rsid w:val="00B10957"/>
    <w:rsid w:val="00B10E23"/>
    <w:rsid w:val="00B11553"/>
    <w:rsid w:val="00B13017"/>
    <w:rsid w:val="00B137C3"/>
    <w:rsid w:val="00B14D2D"/>
    <w:rsid w:val="00B14D5D"/>
    <w:rsid w:val="00B15659"/>
    <w:rsid w:val="00B1578F"/>
    <w:rsid w:val="00B15E74"/>
    <w:rsid w:val="00B169FE"/>
    <w:rsid w:val="00B17617"/>
    <w:rsid w:val="00B20699"/>
    <w:rsid w:val="00B206AA"/>
    <w:rsid w:val="00B21B0D"/>
    <w:rsid w:val="00B21ED8"/>
    <w:rsid w:val="00B225A4"/>
    <w:rsid w:val="00B24463"/>
    <w:rsid w:val="00B24CAD"/>
    <w:rsid w:val="00B256E9"/>
    <w:rsid w:val="00B25807"/>
    <w:rsid w:val="00B25D14"/>
    <w:rsid w:val="00B26A1F"/>
    <w:rsid w:val="00B26C24"/>
    <w:rsid w:val="00B27014"/>
    <w:rsid w:val="00B27827"/>
    <w:rsid w:val="00B30D26"/>
    <w:rsid w:val="00B31F1A"/>
    <w:rsid w:val="00B3246D"/>
    <w:rsid w:val="00B32699"/>
    <w:rsid w:val="00B328B8"/>
    <w:rsid w:val="00B33B16"/>
    <w:rsid w:val="00B33C91"/>
    <w:rsid w:val="00B33CE2"/>
    <w:rsid w:val="00B34793"/>
    <w:rsid w:val="00B34D44"/>
    <w:rsid w:val="00B3525F"/>
    <w:rsid w:val="00B36539"/>
    <w:rsid w:val="00B365EC"/>
    <w:rsid w:val="00B376C5"/>
    <w:rsid w:val="00B407E8"/>
    <w:rsid w:val="00B4103A"/>
    <w:rsid w:val="00B41BBD"/>
    <w:rsid w:val="00B4201B"/>
    <w:rsid w:val="00B423F3"/>
    <w:rsid w:val="00B42987"/>
    <w:rsid w:val="00B44A91"/>
    <w:rsid w:val="00B505F9"/>
    <w:rsid w:val="00B519D3"/>
    <w:rsid w:val="00B5402B"/>
    <w:rsid w:val="00B54623"/>
    <w:rsid w:val="00B54837"/>
    <w:rsid w:val="00B54A8A"/>
    <w:rsid w:val="00B55A60"/>
    <w:rsid w:val="00B57698"/>
    <w:rsid w:val="00B615E6"/>
    <w:rsid w:val="00B62AEB"/>
    <w:rsid w:val="00B635AA"/>
    <w:rsid w:val="00B63CD3"/>
    <w:rsid w:val="00B64194"/>
    <w:rsid w:val="00B6467C"/>
    <w:rsid w:val="00B67EE4"/>
    <w:rsid w:val="00B70B16"/>
    <w:rsid w:val="00B70E11"/>
    <w:rsid w:val="00B722C7"/>
    <w:rsid w:val="00B736E4"/>
    <w:rsid w:val="00B7373E"/>
    <w:rsid w:val="00B74084"/>
    <w:rsid w:val="00B740F6"/>
    <w:rsid w:val="00B75363"/>
    <w:rsid w:val="00B755C1"/>
    <w:rsid w:val="00B77AE6"/>
    <w:rsid w:val="00B77B1C"/>
    <w:rsid w:val="00B80992"/>
    <w:rsid w:val="00B81382"/>
    <w:rsid w:val="00B825BE"/>
    <w:rsid w:val="00B83169"/>
    <w:rsid w:val="00B833D6"/>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6A51"/>
    <w:rsid w:val="00BA705C"/>
    <w:rsid w:val="00BA7152"/>
    <w:rsid w:val="00BA7352"/>
    <w:rsid w:val="00BA7A0F"/>
    <w:rsid w:val="00BA7CB4"/>
    <w:rsid w:val="00BA7D06"/>
    <w:rsid w:val="00BB1698"/>
    <w:rsid w:val="00BB1B95"/>
    <w:rsid w:val="00BB3CC1"/>
    <w:rsid w:val="00BB7D3B"/>
    <w:rsid w:val="00BC066D"/>
    <w:rsid w:val="00BC0F49"/>
    <w:rsid w:val="00BC10DC"/>
    <w:rsid w:val="00BC14B1"/>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D5D"/>
    <w:rsid w:val="00BD3E9D"/>
    <w:rsid w:val="00BD4C59"/>
    <w:rsid w:val="00BD5F23"/>
    <w:rsid w:val="00BD79EE"/>
    <w:rsid w:val="00BD7FBB"/>
    <w:rsid w:val="00BE042C"/>
    <w:rsid w:val="00BE0F3B"/>
    <w:rsid w:val="00BE1855"/>
    <w:rsid w:val="00BE23B2"/>
    <w:rsid w:val="00BE3597"/>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51"/>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26E51"/>
    <w:rsid w:val="00C30049"/>
    <w:rsid w:val="00C3220E"/>
    <w:rsid w:val="00C345AA"/>
    <w:rsid w:val="00C34B6D"/>
    <w:rsid w:val="00C352BE"/>
    <w:rsid w:val="00C37019"/>
    <w:rsid w:val="00C37377"/>
    <w:rsid w:val="00C40197"/>
    <w:rsid w:val="00C4096B"/>
    <w:rsid w:val="00C4114B"/>
    <w:rsid w:val="00C41335"/>
    <w:rsid w:val="00C4162B"/>
    <w:rsid w:val="00C41B8F"/>
    <w:rsid w:val="00C42B97"/>
    <w:rsid w:val="00C4433F"/>
    <w:rsid w:val="00C45D3E"/>
    <w:rsid w:val="00C45FD6"/>
    <w:rsid w:val="00C46A9E"/>
    <w:rsid w:val="00C46AD3"/>
    <w:rsid w:val="00C47640"/>
    <w:rsid w:val="00C506BC"/>
    <w:rsid w:val="00C50E2E"/>
    <w:rsid w:val="00C52B55"/>
    <w:rsid w:val="00C53B4B"/>
    <w:rsid w:val="00C55414"/>
    <w:rsid w:val="00C5730C"/>
    <w:rsid w:val="00C60F73"/>
    <w:rsid w:val="00C617E4"/>
    <w:rsid w:val="00C62116"/>
    <w:rsid w:val="00C62E16"/>
    <w:rsid w:val="00C630B4"/>
    <w:rsid w:val="00C6371D"/>
    <w:rsid w:val="00C639AD"/>
    <w:rsid w:val="00C64026"/>
    <w:rsid w:val="00C640CC"/>
    <w:rsid w:val="00C64FEC"/>
    <w:rsid w:val="00C65574"/>
    <w:rsid w:val="00C655D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A65C6"/>
    <w:rsid w:val="00CB0D08"/>
    <w:rsid w:val="00CB138E"/>
    <w:rsid w:val="00CB1833"/>
    <w:rsid w:val="00CB1883"/>
    <w:rsid w:val="00CB2619"/>
    <w:rsid w:val="00CB51B9"/>
    <w:rsid w:val="00CB5D03"/>
    <w:rsid w:val="00CB7059"/>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52CE"/>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31A9"/>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7A4"/>
    <w:rsid w:val="00D67873"/>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77D45"/>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18F0"/>
    <w:rsid w:val="00DA2B17"/>
    <w:rsid w:val="00DA45C1"/>
    <w:rsid w:val="00DA4C58"/>
    <w:rsid w:val="00DA4D21"/>
    <w:rsid w:val="00DA51DF"/>
    <w:rsid w:val="00DA6941"/>
    <w:rsid w:val="00DA6DDC"/>
    <w:rsid w:val="00DA764E"/>
    <w:rsid w:val="00DB0200"/>
    <w:rsid w:val="00DB0EDB"/>
    <w:rsid w:val="00DB11B1"/>
    <w:rsid w:val="00DB1745"/>
    <w:rsid w:val="00DB1988"/>
    <w:rsid w:val="00DB2754"/>
    <w:rsid w:val="00DB308D"/>
    <w:rsid w:val="00DB3272"/>
    <w:rsid w:val="00DB3AFD"/>
    <w:rsid w:val="00DB3BA5"/>
    <w:rsid w:val="00DB3EC0"/>
    <w:rsid w:val="00DB50FE"/>
    <w:rsid w:val="00DB541A"/>
    <w:rsid w:val="00DB5B81"/>
    <w:rsid w:val="00DB6581"/>
    <w:rsid w:val="00DB727D"/>
    <w:rsid w:val="00DB7C3D"/>
    <w:rsid w:val="00DB7F11"/>
    <w:rsid w:val="00DC0042"/>
    <w:rsid w:val="00DC0F07"/>
    <w:rsid w:val="00DC0F10"/>
    <w:rsid w:val="00DC10AF"/>
    <w:rsid w:val="00DC179C"/>
    <w:rsid w:val="00DC1AFF"/>
    <w:rsid w:val="00DC247D"/>
    <w:rsid w:val="00DC2623"/>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1F4F"/>
    <w:rsid w:val="00DE362C"/>
    <w:rsid w:val="00DE3CDE"/>
    <w:rsid w:val="00DE41E3"/>
    <w:rsid w:val="00DE4A60"/>
    <w:rsid w:val="00DE4B51"/>
    <w:rsid w:val="00DE507B"/>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06E80"/>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47A"/>
    <w:rsid w:val="00E2590C"/>
    <w:rsid w:val="00E260CF"/>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21B"/>
    <w:rsid w:val="00E5283B"/>
    <w:rsid w:val="00E539FA"/>
    <w:rsid w:val="00E53A1B"/>
    <w:rsid w:val="00E54A43"/>
    <w:rsid w:val="00E55159"/>
    <w:rsid w:val="00E55975"/>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3A"/>
    <w:rsid w:val="00E90D9E"/>
    <w:rsid w:val="00E90FB5"/>
    <w:rsid w:val="00E91F47"/>
    <w:rsid w:val="00E9207E"/>
    <w:rsid w:val="00E94242"/>
    <w:rsid w:val="00E94376"/>
    <w:rsid w:val="00E94452"/>
    <w:rsid w:val="00E94670"/>
    <w:rsid w:val="00E950A8"/>
    <w:rsid w:val="00E96D19"/>
    <w:rsid w:val="00E9760E"/>
    <w:rsid w:val="00E979BE"/>
    <w:rsid w:val="00EA0E86"/>
    <w:rsid w:val="00EA20CE"/>
    <w:rsid w:val="00EA2C5B"/>
    <w:rsid w:val="00EA327C"/>
    <w:rsid w:val="00EA36EE"/>
    <w:rsid w:val="00EA435C"/>
    <w:rsid w:val="00EA61F6"/>
    <w:rsid w:val="00EB286A"/>
    <w:rsid w:val="00EB2B8F"/>
    <w:rsid w:val="00EB58BA"/>
    <w:rsid w:val="00EB5D50"/>
    <w:rsid w:val="00EB688F"/>
    <w:rsid w:val="00EC0E50"/>
    <w:rsid w:val="00EC16B3"/>
    <w:rsid w:val="00EC1A3C"/>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6A83"/>
    <w:rsid w:val="00ED7CFE"/>
    <w:rsid w:val="00EE0C8D"/>
    <w:rsid w:val="00EE1C21"/>
    <w:rsid w:val="00EE1CE6"/>
    <w:rsid w:val="00EE23E4"/>
    <w:rsid w:val="00EE2880"/>
    <w:rsid w:val="00EE37A4"/>
    <w:rsid w:val="00EE4BFB"/>
    <w:rsid w:val="00EE4CEC"/>
    <w:rsid w:val="00EE5007"/>
    <w:rsid w:val="00EE52DE"/>
    <w:rsid w:val="00EE5612"/>
    <w:rsid w:val="00EE647C"/>
    <w:rsid w:val="00EE6801"/>
    <w:rsid w:val="00EE687B"/>
    <w:rsid w:val="00EE688A"/>
    <w:rsid w:val="00EF073A"/>
    <w:rsid w:val="00EF2502"/>
    <w:rsid w:val="00EF2BA2"/>
    <w:rsid w:val="00EF5CD4"/>
    <w:rsid w:val="00EF62EB"/>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6AA"/>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0FE4"/>
    <w:rsid w:val="00F32BA5"/>
    <w:rsid w:val="00F32D60"/>
    <w:rsid w:val="00F33128"/>
    <w:rsid w:val="00F339AF"/>
    <w:rsid w:val="00F34855"/>
    <w:rsid w:val="00F348FB"/>
    <w:rsid w:val="00F34BC0"/>
    <w:rsid w:val="00F3521B"/>
    <w:rsid w:val="00F35249"/>
    <w:rsid w:val="00F35B47"/>
    <w:rsid w:val="00F3673E"/>
    <w:rsid w:val="00F36F8F"/>
    <w:rsid w:val="00F371C9"/>
    <w:rsid w:val="00F4019E"/>
    <w:rsid w:val="00F40924"/>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0EC9"/>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7E2"/>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1B4"/>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0" w:unhideWhenUsed="0"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customStyle="1" w:styleId="ColorfulShading-Accent31">
    <w:name w:val="Colorful Shading - Accent 31"/>
    <w:aliases w:val="Paragraphe de liste 2,Reference list,Normal bullet 2,Bullet list,Numbered List,List Paragraph1,1st level - Bullet List Paragraph,Lettre d'introduction,Paragraph,Bullet EY,List Paragraph11,Normal bullet 21"/>
    <w:basedOn w:val="Normal"/>
    <w:link w:val="ColorfulShading-Accent3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uiPriority w:val="99"/>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qFormat/>
    <w:rsid w:val="00CF059E"/>
    <w:rPr>
      <w:b/>
      <w:bCs/>
    </w:rPr>
  </w:style>
  <w:style w:type="paragraph" w:styleId="Subtitle">
    <w:name w:val="Subtitle"/>
    <w:basedOn w:val="Normal"/>
    <w:link w:val="SubtitleChar"/>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val="en-GB"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customStyle="1" w:styleId="Grigliatab31">
    <w:name w:val="Griglia tab. 31"/>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MediumShading2-Accent3">
    <w:name w:val="Medium Shading 2 Accent 3"/>
    <w:basedOn w:val="TableNormal"/>
    <w:uiPriority w:val="60"/>
    <w:qFormat/>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MediumList1-Accent3">
    <w:name w:val="Medium List 1 Accent 3"/>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Grid1-Accent3">
    <w:name w:val="Medium Grid 1 Accent 3"/>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customStyle="1" w:styleId="Enfasidelicata">
    <w:name w:val="Enfasi delicata"/>
    <w:basedOn w:val="TableNormal"/>
    <w:uiPriority w:val="61"/>
    <w:qFormat/>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customStyle="1" w:styleId="DarkList-Accent31">
    <w:name w:val="Dark List - Accent 31"/>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MediumGrid3-Accent4">
    <w:name w:val="Medium Grid 3 Accent 4"/>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LightList-Accent4">
    <w:name w:val="Light List Accent 4"/>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ColorfulShading-Accent3Char">
    <w:name w:val="Colorful Shading - Accent 3 Char"/>
    <w:aliases w:val="Paragraphe de liste 2 Char,Reference list Char,Normal bullet 2 Char,Bullet list Char,Numbered List Char,List Paragraph1 Char,1st level - Bullet List Paragraph Char,Lettre d'introduction Char,Paragraph Char,Bullet EY Char"/>
    <w:link w:val="ColorfulShading-Accent31"/>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0" w:unhideWhenUsed="0"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customStyle="1" w:styleId="ColorfulShading-Accent31">
    <w:name w:val="Colorful Shading - Accent 31"/>
    <w:aliases w:val="Paragraphe de liste 2,Reference list,Normal bullet 2,Bullet list,Numbered List,List Paragraph1,1st level - Bullet List Paragraph,Lettre d'introduction,Paragraph,Bullet EY,List Paragraph11,Normal bullet 21"/>
    <w:basedOn w:val="Normal"/>
    <w:link w:val="ColorfulShading-Accent3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uiPriority w:val="99"/>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qFormat/>
    <w:rsid w:val="00CF059E"/>
    <w:rPr>
      <w:b/>
      <w:bCs/>
    </w:rPr>
  </w:style>
  <w:style w:type="paragraph" w:styleId="Subtitle">
    <w:name w:val="Subtitle"/>
    <w:basedOn w:val="Normal"/>
    <w:link w:val="SubtitleChar"/>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val="en-GB"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customStyle="1" w:styleId="Grigliatab31">
    <w:name w:val="Griglia tab. 31"/>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MediumShading2-Accent3">
    <w:name w:val="Medium Shading 2 Accent 3"/>
    <w:basedOn w:val="TableNormal"/>
    <w:uiPriority w:val="60"/>
    <w:qFormat/>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MediumList1-Accent3">
    <w:name w:val="Medium List 1 Accent 3"/>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Grid1-Accent3">
    <w:name w:val="Medium Grid 1 Accent 3"/>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customStyle="1" w:styleId="Enfasidelicata">
    <w:name w:val="Enfasi delicata"/>
    <w:basedOn w:val="TableNormal"/>
    <w:uiPriority w:val="61"/>
    <w:qFormat/>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customStyle="1" w:styleId="DarkList-Accent31">
    <w:name w:val="Dark List - Accent 31"/>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MediumGrid3-Accent4">
    <w:name w:val="Medium Grid 3 Accent 4"/>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LightList-Accent4">
    <w:name w:val="Light List Accent 4"/>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ColorfulShading-Accent3Char">
    <w:name w:val="Colorful Shading - Accent 3 Char"/>
    <w:aliases w:val="Paragraphe de liste 2 Char,Reference list Char,Normal bullet 2 Char,Bullet list Char,Numbered List Char,List Paragraph1 Char,1st level - Bullet List Paragraph Char,Lettre d'introduction Char,Paragraph Char,Bullet EY Char"/>
    <w:link w:val="ColorfulShading-Accent31"/>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3208">
      <w:bodyDiv w:val="1"/>
      <w:marLeft w:val="0"/>
      <w:marRight w:val="0"/>
      <w:marTop w:val="0"/>
      <w:marBottom w:val="0"/>
      <w:divBdr>
        <w:top w:val="none" w:sz="0" w:space="0" w:color="auto"/>
        <w:left w:val="none" w:sz="0" w:space="0" w:color="auto"/>
        <w:bottom w:val="none" w:sz="0" w:space="0" w:color="auto"/>
        <w:right w:val="none" w:sz="0" w:space="0" w:color="auto"/>
      </w:divBdr>
    </w:div>
    <w:div w:id="1012298055">
      <w:bodyDiv w:val="1"/>
      <w:marLeft w:val="0"/>
      <w:marRight w:val="0"/>
      <w:marTop w:val="0"/>
      <w:marBottom w:val="0"/>
      <w:divBdr>
        <w:top w:val="none" w:sz="0" w:space="0" w:color="auto"/>
        <w:left w:val="none" w:sz="0" w:space="0" w:color="auto"/>
        <w:bottom w:val="none" w:sz="0" w:space="0" w:color="auto"/>
        <w:right w:val="none" w:sz="0" w:space="0" w:color="auto"/>
      </w:divBdr>
      <w:divsChild>
        <w:div w:id="1888369064">
          <w:marLeft w:val="0"/>
          <w:marRight w:val="0"/>
          <w:marTop w:val="0"/>
          <w:marBottom w:val="0"/>
          <w:divBdr>
            <w:top w:val="none" w:sz="0" w:space="0" w:color="auto"/>
            <w:left w:val="none" w:sz="0" w:space="0" w:color="auto"/>
            <w:bottom w:val="none" w:sz="0" w:space="0" w:color="auto"/>
            <w:right w:val="none" w:sz="0" w:space="0" w:color="auto"/>
          </w:divBdr>
          <w:divsChild>
            <w:div w:id="766655437">
              <w:marLeft w:val="720"/>
              <w:marRight w:val="720"/>
              <w:marTop w:val="120"/>
              <w:marBottom w:val="120"/>
              <w:divBdr>
                <w:top w:val="none" w:sz="0" w:space="0" w:color="auto"/>
                <w:left w:val="none" w:sz="0" w:space="0" w:color="auto"/>
                <w:bottom w:val="none" w:sz="0" w:space="0" w:color="auto"/>
                <w:right w:val="none" w:sz="0" w:space="0" w:color="auto"/>
              </w:divBdr>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FBC40-DDB7-4086-90E3-A446A4882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6881</Words>
  <Characters>39225</Characters>
  <Application>Microsoft Office Word</Application>
  <DocSecurity>0</DocSecurity>
  <Lines>326</Lines>
  <Paragraphs>92</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LinksUpToDate>false</LinksUpToDate>
  <CharactersWithSpaces>46014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2015-10-27T08:07:00Z</dcterms:created>
  <dcterms:modified xsi:type="dcterms:W3CDTF">2015-11-04T17:22:00Z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ies>
</file>